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55" w:rsidRPr="007861B6" w:rsidRDefault="00907BA8" w:rsidP="007861B6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7861B6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4D23080" wp14:editId="5E9B695A">
            <wp:simplePos x="0" y="0"/>
            <wp:positionH relativeFrom="column">
              <wp:posOffset>792480</wp:posOffset>
            </wp:positionH>
            <wp:positionV relativeFrom="paragraph">
              <wp:posOffset>-419100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D55" w:rsidRPr="007861B6" w:rsidRDefault="00056D55" w:rsidP="007861B6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7861B6" w:rsidRDefault="006345A9" w:rsidP="007861B6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814B51" w:rsidRPr="007861B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up Open Encumbrances</w:t>
      </w:r>
    </w:p>
    <w:p w:rsidR="000B495F" w:rsidRPr="006471E7" w:rsidRDefault="00231930" w:rsidP="00056D5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471E7">
        <w:rPr>
          <w:rFonts w:ascii="Times New Roman" w:eastAsia="Times New Roman" w:hAnsi="Times New Roman" w:cs="Times New Roman"/>
          <w:b/>
        </w:rPr>
        <w:t>Summary:</w:t>
      </w:r>
      <w:r w:rsidRPr="006471E7">
        <w:rPr>
          <w:rFonts w:ascii="Times New Roman" w:eastAsia="Times New Roman" w:hAnsi="Times New Roman" w:cs="Times New Roman"/>
        </w:rPr>
        <w:t xml:space="preserve"> </w:t>
      </w:r>
      <w:r w:rsidR="00814B51" w:rsidRPr="006471E7">
        <w:rPr>
          <w:rFonts w:ascii="Times New Roman" w:eastAsia="Times New Roman" w:hAnsi="Times New Roman" w:cs="Times New Roman"/>
        </w:rPr>
        <w:t xml:space="preserve">The Open Encumbrances </w:t>
      </w:r>
      <w:r w:rsidR="006F2DA2" w:rsidRPr="006471E7">
        <w:rPr>
          <w:rFonts w:ascii="Times New Roman" w:eastAsia="Times New Roman" w:hAnsi="Times New Roman" w:cs="Times New Roman"/>
        </w:rPr>
        <w:t>Lookup</w:t>
      </w:r>
      <w:r w:rsidR="00814B51" w:rsidRPr="006471E7">
        <w:rPr>
          <w:rFonts w:ascii="Times New Roman" w:eastAsia="Times New Roman" w:hAnsi="Times New Roman" w:cs="Times New Roman"/>
        </w:rPr>
        <w:t xml:space="preserve"> displays the detail for open encumbrances. You must enter the fiscal year, chart, and account number</w:t>
      </w:r>
      <w:r w:rsidR="002B73FE" w:rsidRPr="006471E7">
        <w:rPr>
          <w:rFonts w:ascii="Times New Roman" w:eastAsia="Times New Roman" w:hAnsi="Times New Roman" w:cs="Times New Roman"/>
        </w:rPr>
        <w:t>,</w:t>
      </w:r>
      <w:r w:rsidR="00814B51" w:rsidRPr="006471E7">
        <w:rPr>
          <w:rFonts w:ascii="Times New Roman" w:eastAsia="Times New Roman" w:hAnsi="Times New Roman" w:cs="Times New Roman"/>
        </w:rPr>
        <w:t xml:space="preserve"> or the fiscal year and document number. The values you may choose from the encumbrance report include</w:t>
      </w:r>
      <w:r w:rsidR="002B73FE" w:rsidRPr="006471E7">
        <w:rPr>
          <w:rFonts w:ascii="Times New Roman" w:eastAsia="Times New Roman" w:hAnsi="Times New Roman" w:cs="Times New Roman"/>
        </w:rPr>
        <w:t xml:space="preserve"> external encumbrance (EX), internal encumbrance (</w:t>
      </w:r>
      <w:proofErr w:type="gramStart"/>
      <w:r w:rsidR="002B73FE" w:rsidRPr="006471E7">
        <w:rPr>
          <w:rFonts w:ascii="Times New Roman" w:eastAsia="Times New Roman" w:hAnsi="Times New Roman" w:cs="Times New Roman"/>
        </w:rPr>
        <w:t>IE),</w:t>
      </w:r>
      <w:proofErr w:type="gramEnd"/>
      <w:r w:rsidR="002B73FE" w:rsidRPr="006471E7">
        <w:rPr>
          <w:rFonts w:ascii="Times New Roman" w:eastAsia="Times New Roman" w:hAnsi="Times New Roman" w:cs="Times New Roman"/>
        </w:rPr>
        <w:t xml:space="preserve"> and pre-encumbrance (PE).</w:t>
      </w:r>
      <w:r w:rsidR="00814B51" w:rsidRPr="006471E7">
        <w:rPr>
          <w:rFonts w:ascii="Times New Roman" w:eastAsia="Times New Roman" w:hAnsi="Times New Roman" w:cs="Times New Roman"/>
        </w:rPr>
        <w:t xml:space="preserve"> </w:t>
      </w:r>
      <w:r w:rsidR="00814B51" w:rsidRPr="00FD1499">
        <w:rPr>
          <w:rFonts w:ascii="Times New Roman" w:eastAsia="Times New Roman" w:hAnsi="Times New Roman" w:cs="Times New Roman"/>
          <w:b/>
        </w:rPr>
        <w:t>External encumbrances</w:t>
      </w:r>
      <w:r w:rsidR="00814B51" w:rsidRPr="006471E7">
        <w:rPr>
          <w:rFonts w:ascii="Times New Roman" w:eastAsia="Times New Roman" w:hAnsi="Times New Roman" w:cs="Times New Roman"/>
        </w:rPr>
        <w:t xml:space="preserve"> are those that are owed externally to entities outside your institution, such as a purchasing system or travel system. </w:t>
      </w:r>
      <w:r w:rsidR="00814B51" w:rsidRPr="00FD1499">
        <w:rPr>
          <w:rFonts w:ascii="Times New Roman" w:eastAsia="Times New Roman" w:hAnsi="Times New Roman" w:cs="Times New Roman"/>
          <w:b/>
        </w:rPr>
        <w:t>Internal encumbrances</w:t>
      </w:r>
      <w:r w:rsidR="00814B51" w:rsidRPr="006471E7">
        <w:rPr>
          <w:rFonts w:ascii="Times New Roman" w:eastAsia="Times New Roman" w:hAnsi="Times New Roman" w:cs="Times New Roman"/>
        </w:rPr>
        <w:t xml:space="preserve"> represent things owed internally to the institution, such as encumbrances from a payroll system integrated with the KFS. </w:t>
      </w:r>
      <w:r w:rsidR="00814B51" w:rsidRPr="00FD1499">
        <w:rPr>
          <w:rFonts w:ascii="Times New Roman" w:eastAsia="Times New Roman" w:hAnsi="Times New Roman" w:cs="Times New Roman"/>
          <w:b/>
        </w:rPr>
        <w:t>Pre-encumbrances</w:t>
      </w:r>
      <w:r w:rsidR="00814B51" w:rsidRPr="006471E7">
        <w:rPr>
          <w:rFonts w:ascii="Times New Roman" w:eastAsia="Times New Roman" w:hAnsi="Times New Roman" w:cs="Times New Roman"/>
        </w:rPr>
        <w:t xml:space="preserve"> are established within the KFS via the Pre-encumbrance document</w:t>
      </w:r>
      <w:r w:rsidR="000537E5" w:rsidRPr="006471E7">
        <w:rPr>
          <w:rFonts w:ascii="Times New Roman" w:eastAsia="Times New Roman" w:hAnsi="Times New Roman" w:cs="Times New Roman"/>
        </w:rPr>
        <w:t>.</w:t>
      </w:r>
    </w:p>
    <w:p w:rsidR="000B495F" w:rsidRPr="006471E7" w:rsidRDefault="00C460B1" w:rsidP="00056D55">
      <w:pPr>
        <w:spacing w:before="120" w:after="120" w:line="240" w:lineRule="auto"/>
        <w:rPr>
          <w:rFonts w:ascii="Times New Roman" w:hAnsi="Times New Roman" w:cs="Times New Roman"/>
        </w:rPr>
      </w:pPr>
      <w:r w:rsidRPr="006471E7">
        <w:rPr>
          <w:rFonts w:ascii="Times New Roman" w:hAnsi="Times New Roman" w:cs="Times New Roman"/>
          <w:b/>
        </w:rPr>
        <w:t>Replacement:</w:t>
      </w:r>
      <w:r w:rsidRPr="006471E7">
        <w:rPr>
          <w:rFonts w:ascii="Times New Roman" w:hAnsi="Times New Roman" w:cs="Times New Roman"/>
        </w:rPr>
        <w:t xml:space="preserve"> </w:t>
      </w:r>
      <w:r w:rsidR="00814B51" w:rsidRPr="006471E7">
        <w:rPr>
          <w:rFonts w:ascii="Times New Roman" w:hAnsi="Times New Roman" w:cs="Times New Roman"/>
        </w:rPr>
        <w:t>In the FS system</w:t>
      </w:r>
      <w:r w:rsidR="002B73FE" w:rsidRPr="006471E7">
        <w:rPr>
          <w:rFonts w:ascii="Times New Roman" w:hAnsi="Times New Roman" w:cs="Times New Roman"/>
        </w:rPr>
        <w:t>,</w:t>
      </w:r>
      <w:r w:rsidR="00814B51" w:rsidRPr="006471E7">
        <w:rPr>
          <w:rFonts w:ascii="Times New Roman" w:hAnsi="Times New Roman" w:cs="Times New Roman"/>
        </w:rPr>
        <w:t xml:space="preserve"> users go to the General Ledger Inquiry (FS0100) function to view open encumbrances. In KFS</w:t>
      </w:r>
      <w:r w:rsidR="002B73FE" w:rsidRPr="006471E7">
        <w:rPr>
          <w:rFonts w:ascii="Times New Roman" w:hAnsi="Times New Roman" w:cs="Times New Roman"/>
        </w:rPr>
        <w:t>,</w:t>
      </w:r>
      <w:r w:rsidR="00814B51" w:rsidRPr="006471E7">
        <w:rPr>
          <w:rFonts w:ascii="Times New Roman" w:hAnsi="Times New Roman" w:cs="Times New Roman"/>
        </w:rPr>
        <w:t xml:space="preserve"> users will go to the Open Encumbrance function to view encumbrances.  </w:t>
      </w:r>
    </w:p>
    <w:tbl>
      <w:tblPr>
        <w:tblStyle w:val="MediumGrid3-Accent11"/>
        <w:tblW w:w="9360" w:type="dxa"/>
        <w:jc w:val="center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00"/>
        <w:gridCol w:w="2070"/>
        <w:gridCol w:w="6390"/>
      </w:tblGrid>
      <w:tr w:rsidR="00D731C0" w:rsidRPr="006471E7" w:rsidTr="00B5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6471E7" w:rsidRDefault="00D731C0" w:rsidP="00056D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71E7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D731C0" w:rsidRPr="006471E7" w:rsidRDefault="00D731C0" w:rsidP="00056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1E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056D55" w:rsidRPr="006471E7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  <w:hideMark/>
          </w:tcPr>
          <w:p w:rsidR="00D731C0" w:rsidRPr="006471E7" w:rsidRDefault="00D731C0" w:rsidP="00056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1E7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056D55" w:rsidRPr="006471E7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E3146E" w:rsidRPr="006471E7" w:rsidTr="00B579A3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E3146E" w:rsidRPr="006471E7" w:rsidRDefault="00E3146E" w:rsidP="00056D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71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0" w:type="dxa"/>
            <w:shd w:val="clear" w:color="auto" w:fill="F2F2F2" w:themeFill="background1" w:themeFillShade="F2"/>
            <w:hideMark/>
          </w:tcPr>
          <w:p w:rsidR="00E3146E" w:rsidRPr="006471E7" w:rsidRDefault="006471E7" w:rsidP="00056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r w:rsidR="00670A17">
              <w:rPr>
                <w:rFonts w:ascii="Times New Roman" w:eastAsia="Calibri" w:hAnsi="Times New Roman" w:cs="Times New Roman"/>
                <w:color w:val="000000"/>
              </w:rPr>
              <w:t>ZOTPortal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:rsidR="00700E49" w:rsidRDefault="00700E49" w:rsidP="00700E4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700E49" w:rsidRPr="00C41B62" w:rsidRDefault="00700E49" w:rsidP="00700E4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4C2101" w:rsidRPr="006471E7" w:rsidRDefault="004C2101" w:rsidP="004C210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1C0" w:rsidRPr="006471E7" w:rsidTr="00B5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6471E7" w:rsidRDefault="00FE0E5D" w:rsidP="00056D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71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="00D731C0" w:rsidRPr="006471E7" w:rsidRDefault="006471E7" w:rsidP="0070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Access</w:t>
            </w:r>
            <w:r w:rsidR="00700E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6D55" w:rsidRPr="006471E7">
              <w:rPr>
                <w:rFonts w:ascii="Times New Roman" w:eastAsia="Times New Roman" w:hAnsi="Times New Roman" w:cs="Times New Roman"/>
                <w:color w:val="000000"/>
              </w:rPr>
              <w:t xml:space="preserve">Open Encumbrances 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581604" w:rsidRDefault="006471E7" w:rsidP="006471E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Navigate to the KFS </w:t>
            </w:r>
            <w:r w:rsidRPr="00700E49">
              <w:rPr>
                <w:rFonts w:ascii="Times New Roman" w:eastAsia="Times New Roman" w:hAnsi="Times New Roman" w:cs="Times New Roman"/>
                <w:b/>
                <w:color w:val="000000"/>
              </w:rPr>
              <w:t>General Ledger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portlet</w:t>
            </w:r>
          </w:p>
          <w:p w:rsidR="006471E7" w:rsidRPr="006471E7" w:rsidRDefault="00700E49" w:rsidP="006471E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Pr="00700E49">
              <w:rPr>
                <w:rFonts w:ascii="Times New Roman" w:eastAsia="Times New Roman" w:hAnsi="Times New Roman" w:cs="Times New Roman"/>
                <w:b/>
                <w:color w:val="000000"/>
              </w:rPr>
              <w:t>Open Encumbrances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2101" w:rsidRDefault="00581604" w:rsidP="00056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471E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AB815A" wp14:editId="638E29CB">
                  <wp:simplePos x="0" y="0"/>
                  <wp:positionH relativeFrom="column">
                    <wp:posOffset>1530104</wp:posOffset>
                  </wp:positionH>
                  <wp:positionV relativeFrom="paragraph">
                    <wp:posOffset>-1668</wp:posOffset>
                  </wp:positionV>
                  <wp:extent cx="2367064" cy="110546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711" cy="110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101" w:rsidRPr="004C2101" w:rsidRDefault="004C2101" w:rsidP="004C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C2101" w:rsidRDefault="004C2101" w:rsidP="004C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C2101" w:rsidRDefault="004C2101" w:rsidP="004C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F5A5E" w:rsidRDefault="00EF5A5E" w:rsidP="004C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C2101" w:rsidRDefault="004C2101" w:rsidP="004C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C2101" w:rsidRDefault="004C2101" w:rsidP="004C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C2101" w:rsidRPr="004C2101" w:rsidRDefault="004C2101" w:rsidP="004C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00E8F" w:rsidRPr="006471E7" w:rsidTr="00B579A3">
        <w:trPr>
          <w:trHeight w:val="3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6471E7" w:rsidRDefault="00FE0E5D" w:rsidP="00056D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71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D00E8F" w:rsidRPr="006471E7" w:rsidRDefault="00056D55" w:rsidP="00E2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6471E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8A58B9" wp14:editId="1F7AA5B9">
                  <wp:simplePos x="0" y="0"/>
                  <wp:positionH relativeFrom="column">
                    <wp:posOffset>725379</wp:posOffset>
                  </wp:positionH>
                  <wp:positionV relativeFrom="paragraph">
                    <wp:posOffset>184150</wp:posOffset>
                  </wp:positionV>
                  <wp:extent cx="4572000" cy="1706245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706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6D6">
              <w:rPr>
                <w:rFonts w:ascii="Times New Roman" w:eastAsia="Calibri" w:hAnsi="Times New Roman" w:cs="Times New Roman"/>
                <w:color w:val="000000"/>
              </w:rPr>
              <w:t xml:space="preserve">Search </w:t>
            </w:r>
          </w:p>
        </w:tc>
        <w:tc>
          <w:tcPr>
            <w:tcW w:w="6390" w:type="dxa"/>
            <w:shd w:val="clear" w:color="auto" w:fill="F2F2F2" w:themeFill="background1" w:themeFillShade="F2"/>
            <w:hideMark/>
          </w:tcPr>
          <w:p w:rsidR="00D00E8F" w:rsidRPr="00E206D6" w:rsidRDefault="00D00E8F" w:rsidP="00E206D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206D6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713DD7" w:rsidRDefault="00713DD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71E7" w:rsidRDefault="006471E7" w:rsidP="0064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6471E7">
              <w:rPr>
                <w:rFonts w:ascii="Times New Roman" w:eastAsia="Times New Roman" w:hAnsi="Times New Roman" w:cs="Times New Roman"/>
                <w:color w:val="000000"/>
              </w:rPr>
              <w:t>Users can search some fields using only partial information by placing an asterisk (*) before and after the text portion of the search criteria</w:t>
            </w:r>
          </w:p>
          <w:p w:rsidR="00E206D6" w:rsidRDefault="00E206D6" w:rsidP="0064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06D6" w:rsidRPr="00E206D6" w:rsidRDefault="00E206D6" w:rsidP="00E206D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r w:rsidRPr="00E206D6">
              <w:rPr>
                <w:rFonts w:ascii="Times New Roman" w:eastAsia="Times New Roman" w:hAnsi="Times New Roman" w:cs="Times New Roman"/>
                <w:color w:val="000000"/>
              </w:rPr>
              <w:t xml:space="preserve"> the search button once you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’ve </w:t>
            </w:r>
            <w:r w:rsidRPr="00E206D6">
              <w:rPr>
                <w:rFonts w:ascii="Times New Roman" w:eastAsia="Times New Roman" w:hAnsi="Times New Roman" w:cs="Times New Roman"/>
                <w:color w:val="000000"/>
              </w:rPr>
              <w:t>entered your search criteria</w:t>
            </w:r>
          </w:p>
          <w:p w:rsidR="004C2101" w:rsidRPr="006471E7" w:rsidRDefault="004C2101" w:rsidP="0064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02A" w:rsidRPr="006471E7" w:rsidTr="00B57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22102A" w:rsidRPr="006471E7" w:rsidRDefault="0022102A" w:rsidP="00056D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22102A" w:rsidRPr="006471E7" w:rsidRDefault="0022102A" w:rsidP="002C5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:rsidR="004C2101" w:rsidRPr="006471E7" w:rsidRDefault="004C2101" w:rsidP="00E2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6D13" w:rsidRPr="006471E7" w:rsidTr="00627FC0">
        <w:trPr>
          <w:trHeight w:val="20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916D13" w:rsidRPr="006471E7" w:rsidRDefault="00056D55" w:rsidP="00056D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71E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5CC951" wp14:editId="53A3E89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1234440</wp:posOffset>
                  </wp:positionV>
                  <wp:extent cx="5893814" cy="75062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7836"/>
                          <a:stretch/>
                        </pic:blipFill>
                        <pic:spPr bwMode="auto">
                          <a:xfrm>
                            <a:off x="0" y="0"/>
                            <a:ext cx="5893814" cy="75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E5D" w:rsidRPr="006471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916D13" w:rsidRPr="006471E7" w:rsidRDefault="00611D50" w:rsidP="002C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6471E7">
              <w:rPr>
                <w:rFonts w:ascii="Times New Roman" w:eastAsia="Calibri" w:hAnsi="Times New Roman" w:cs="Times New Roman"/>
                <w:color w:val="000000"/>
              </w:rPr>
              <w:t xml:space="preserve">View </w:t>
            </w:r>
            <w:r w:rsidR="00056D55" w:rsidRPr="006471E7">
              <w:rPr>
                <w:rFonts w:ascii="Times New Roman" w:eastAsia="Calibri" w:hAnsi="Times New Roman" w:cs="Times New Roman"/>
                <w:color w:val="000000"/>
              </w:rPr>
              <w:t>encumbered items</w:t>
            </w:r>
          </w:p>
          <w:p w:rsidR="00916D13" w:rsidRPr="006471E7" w:rsidRDefault="00916D13" w:rsidP="002C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D1455" w:rsidRPr="006471E7" w:rsidRDefault="001D1455" w:rsidP="002C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D1455" w:rsidRPr="006471E7" w:rsidRDefault="001D1455" w:rsidP="002C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90" w:type="dxa"/>
            <w:shd w:val="clear" w:color="auto" w:fill="F2F2F2" w:themeFill="background1" w:themeFillShade="F2"/>
          </w:tcPr>
          <w:p w:rsidR="00E206D6" w:rsidRDefault="00611D50" w:rsidP="00E206D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E206D6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E206D6">
              <w:rPr>
                <w:rFonts w:ascii="Times New Roman" w:eastAsia="Times New Roman" w:hAnsi="Times New Roman" w:cs="Times New Roman"/>
                <w:b/>
                <w:color w:val="000000"/>
              </w:rPr>
              <w:t>open amount</w:t>
            </w:r>
            <w:r w:rsidRPr="00E206D6">
              <w:rPr>
                <w:rFonts w:ascii="Times New Roman" w:eastAsia="Times New Roman" w:hAnsi="Times New Roman" w:cs="Times New Roman"/>
                <w:color w:val="000000"/>
              </w:rPr>
              <w:t xml:space="preserve"> reflects the total amount of the encumbrance for this document number </w:t>
            </w:r>
          </w:p>
          <w:p w:rsidR="00E206D6" w:rsidRPr="00E206D6" w:rsidRDefault="00E206D6" w:rsidP="00E206D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and</w:t>
            </w:r>
          </w:p>
          <w:p w:rsidR="00B67809" w:rsidRPr="00E206D6" w:rsidRDefault="00E206D6" w:rsidP="00E206D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r w:rsidR="00611D50" w:rsidRPr="00E20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11D50" w:rsidRPr="00E206D6">
              <w:rPr>
                <w:rFonts w:ascii="Times New Roman" w:eastAsia="Times New Roman" w:hAnsi="Times New Roman" w:cs="Times New Roman"/>
                <w:b/>
                <w:color w:val="000000"/>
              </w:rPr>
              <w:t>closed amount</w:t>
            </w:r>
            <w:r w:rsidR="00611D50" w:rsidRPr="00E206D6">
              <w:rPr>
                <w:rFonts w:ascii="Times New Roman" w:eastAsia="Times New Roman" w:hAnsi="Times New Roman" w:cs="Times New Roman"/>
                <w:color w:val="000000"/>
              </w:rPr>
              <w:t xml:space="preserve"> reflects the amount of th</w:t>
            </w:r>
            <w:r w:rsidR="002C57A2" w:rsidRPr="00E206D6">
              <w:rPr>
                <w:rFonts w:ascii="Times New Roman" w:eastAsia="Times New Roman" w:hAnsi="Times New Roman" w:cs="Times New Roman"/>
                <w:color w:val="000000"/>
              </w:rPr>
              <w:t>at encumbrance relieved to date</w:t>
            </w:r>
          </w:p>
          <w:p w:rsidR="00B67809" w:rsidRPr="006471E7" w:rsidRDefault="00B67809" w:rsidP="002C57A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D13" w:rsidRPr="006471E7" w:rsidRDefault="00916D13" w:rsidP="002C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D13" w:rsidRPr="006471E7" w:rsidRDefault="00916D13" w:rsidP="002C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6471E7" w:rsidRDefault="00D731C0" w:rsidP="00056D5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D731C0" w:rsidRPr="006471E7" w:rsidSect="00484964">
      <w:footerReference w:type="default" r:id="rId14"/>
      <w:pgSz w:w="12240" w:h="15840" w:code="1"/>
      <w:pgMar w:top="1440" w:right="1440" w:bottom="1440" w:left="1440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64" w:rsidRDefault="00484964" w:rsidP="00484964">
      <w:pPr>
        <w:spacing w:after="0" w:line="240" w:lineRule="auto"/>
      </w:pPr>
      <w:r>
        <w:separator/>
      </w:r>
    </w:p>
  </w:endnote>
  <w:endnote w:type="continuationSeparator" w:id="0">
    <w:p w:rsidR="00484964" w:rsidRDefault="00484964" w:rsidP="0048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571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484964" w:rsidRPr="00484964" w:rsidRDefault="0048496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484964">
          <w:rPr>
            <w:rFonts w:ascii="Times New Roman" w:hAnsi="Times New Roman" w:cs="Times New Roman"/>
          </w:rPr>
          <w:t>Updated 01/17/2014</w:t>
        </w:r>
        <w:r w:rsidRPr="00484964">
          <w:rPr>
            <w:rFonts w:ascii="Times New Roman" w:hAnsi="Times New Roman" w:cs="Times New Roman"/>
          </w:rPr>
          <w:tab/>
        </w:r>
        <w:r w:rsidRPr="00484964">
          <w:rPr>
            <w:rFonts w:ascii="Times New Roman" w:hAnsi="Times New Roman" w:cs="Times New Roman"/>
          </w:rPr>
          <w:tab/>
        </w:r>
        <w:r w:rsidRPr="00484964">
          <w:rPr>
            <w:rFonts w:ascii="Times New Roman" w:hAnsi="Times New Roman" w:cs="Times New Roman"/>
          </w:rPr>
          <w:fldChar w:fldCharType="begin"/>
        </w:r>
        <w:r w:rsidRPr="00484964">
          <w:rPr>
            <w:rFonts w:ascii="Times New Roman" w:hAnsi="Times New Roman" w:cs="Times New Roman"/>
          </w:rPr>
          <w:instrText xml:space="preserve"> PAGE   \* MERGEFORMAT </w:instrText>
        </w:r>
        <w:r w:rsidRPr="00484964">
          <w:rPr>
            <w:rFonts w:ascii="Times New Roman" w:hAnsi="Times New Roman" w:cs="Times New Roman"/>
          </w:rPr>
          <w:fldChar w:fldCharType="separate"/>
        </w:r>
        <w:r w:rsidR="00FD1499">
          <w:rPr>
            <w:rFonts w:ascii="Times New Roman" w:hAnsi="Times New Roman" w:cs="Times New Roman"/>
            <w:noProof/>
          </w:rPr>
          <w:t>1</w:t>
        </w:r>
        <w:r w:rsidRPr="00484964">
          <w:rPr>
            <w:rFonts w:ascii="Times New Roman" w:hAnsi="Times New Roman" w:cs="Times New Roman"/>
            <w:noProof/>
          </w:rPr>
          <w:fldChar w:fldCharType="end"/>
        </w:r>
        <w:r w:rsidRPr="00484964">
          <w:rPr>
            <w:rFonts w:ascii="Times New Roman" w:hAnsi="Times New Roman" w:cs="Times New Roman"/>
          </w:rPr>
          <w:t xml:space="preserve"> | </w:t>
        </w:r>
        <w:r w:rsidRPr="00484964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484964" w:rsidRDefault="00484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64" w:rsidRDefault="00484964" w:rsidP="00484964">
      <w:pPr>
        <w:spacing w:after="0" w:line="240" w:lineRule="auto"/>
      </w:pPr>
      <w:r>
        <w:separator/>
      </w:r>
    </w:p>
  </w:footnote>
  <w:footnote w:type="continuationSeparator" w:id="0">
    <w:p w:rsidR="00484964" w:rsidRDefault="00484964" w:rsidP="0048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848BF"/>
    <w:multiLevelType w:val="hybridMultilevel"/>
    <w:tmpl w:val="24866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81D89"/>
    <w:multiLevelType w:val="hybridMultilevel"/>
    <w:tmpl w:val="8D14C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3070B9"/>
    <w:multiLevelType w:val="hybridMultilevel"/>
    <w:tmpl w:val="953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26D60"/>
    <w:multiLevelType w:val="hybridMultilevel"/>
    <w:tmpl w:val="524E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EC5156"/>
    <w:multiLevelType w:val="hybridMultilevel"/>
    <w:tmpl w:val="F3D0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37573"/>
    <w:rsid w:val="00042EEF"/>
    <w:rsid w:val="00047725"/>
    <w:rsid w:val="000537E5"/>
    <w:rsid w:val="00056D55"/>
    <w:rsid w:val="000725A9"/>
    <w:rsid w:val="000A2BA0"/>
    <w:rsid w:val="000B495F"/>
    <w:rsid w:val="000D1FE5"/>
    <w:rsid w:val="001473D5"/>
    <w:rsid w:val="001602A4"/>
    <w:rsid w:val="00167BA0"/>
    <w:rsid w:val="00171EF2"/>
    <w:rsid w:val="001748DC"/>
    <w:rsid w:val="001820F4"/>
    <w:rsid w:val="001C40A1"/>
    <w:rsid w:val="001D1455"/>
    <w:rsid w:val="0022102A"/>
    <w:rsid w:val="00231930"/>
    <w:rsid w:val="00267215"/>
    <w:rsid w:val="00295C9B"/>
    <w:rsid w:val="002B73FE"/>
    <w:rsid w:val="002C57A2"/>
    <w:rsid w:val="002D4301"/>
    <w:rsid w:val="00311D59"/>
    <w:rsid w:val="00380BC2"/>
    <w:rsid w:val="003B723E"/>
    <w:rsid w:val="003C0A77"/>
    <w:rsid w:val="0041423C"/>
    <w:rsid w:val="00483D57"/>
    <w:rsid w:val="00484964"/>
    <w:rsid w:val="004A1458"/>
    <w:rsid w:val="004C2101"/>
    <w:rsid w:val="004F4E21"/>
    <w:rsid w:val="004F7E76"/>
    <w:rsid w:val="00581604"/>
    <w:rsid w:val="00582634"/>
    <w:rsid w:val="00591836"/>
    <w:rsid w:val="005A49CA"/>
    <w:rsid w:val="005C78F4"/>
    <w:rsid w:val="005D76DD"/>
    <w:rsid w:val="005E2F88"/>
    <w:rsid w:val="00604852"/>
    <w:rsid w:val="00611D50"/>
    <w:rsid w:val="00627FC0"/>
    <w:rsid w:val="006345A9"/>
    <w:rsid w:val="006471E7"/>
    <w:rsid w:val="00664B34"/>
    <w:rsid w:val="00670A17"/>
    <w:rsid w:val="006870B0"/>
    <w:rsid w:val="006B43F6"/>
    <w:rsid w:val="006F2DA2"/>
    <w:rsid w:val="00700E49"/>
    <w:rsid w:val="00713DD7"/>
    <w:rsid w:val="007455FE"/>
    <w:rsid w:val="00753722"/>
    <w:rsid w:val="007861B6"/>
    <w:rsid w:val="007B4B1C"/>
    <w:rsid w:val="007C0F8D"/>
    <w:rsid w:val="007C5324"/>
    <w:rsid w:val="007D0FB5"/>
    <w:rsid w:val="007D2DC1"/>
    <w:rsid w:val="007D46AD"/>
    <w:rsid w:val="007E1774"/>
    <w:rsid w:val="007F0CE4"/>
    <w:rsid w:val="00814B51"/>
    <w:rsid w:val="008653F8"/>
    <w:rsid w:val="00895233"/>
    <w:rsid w:val="00896C28"/>
    <w:rsid w:val="00907BA8"/>
    <w:rsid w:val="00916D13"/>
    <w:rsid w:val="00936B47"/>
    <w:rsid w:val="009502A4"/>
    <w:rsid w:val="00960600"/>
    <w:rsid w:val="009B41C3"/>
    <w:rsid w:val="009B42EA"/>
    <w:rsid w:val="009D73C9"/>
    <w:rsid w:val="009E771C"/>
    <w:rsid w:val="00A21BD0"/>
    <w:rsid w:val="00A62862"/>
    <w:rsid w:val="00A8324B"/>
    <w:rsid w:val="00A83CFE"/>
    <w:rsid w:val="00AE3D7F"/>
    <w:rsid w:val="00AE7BAF"/>
    <w:rsid w:val="00B01AE6"/>
    <w:rsid w:val="00B579A3"/>
    <w:rsid w:val="00B67809"/>
    <w:rsid w:val="00BF467E"/>
    <w:rsid w:val="00C11A21"/>
    <w:rsid w:val="00C460B1"/>
    <w:rsid w:val="00C837D4"/>
    <w:rsid w:val="00CE542F"/>
    <w:rsid w:val="00D00E8F"/>
    <w:rsid w:val="00D02F5E"/>
    <w:rsid w:val="00D05A3A"/>
    <w:rsid w:val="00D240AD"/>
    <w:rsid w:val="00D56F78"/>
    <w:rsid w:val="00D731C0"/>
    <w:rsid w:val="00DB2742"/>
    <w:rsid w:val="00DF35CA"/>
    <w:rsid w:val="00DF61BE"/>
    <w:rsid w:val="00E206D6"/>
    <w:rsid w:val="00E236C2"/>
    <w:rsid w:val="00E3146E"/>
    <w:rsid w:val="00E36F7E"/>
    <w:rsid w:val="00E46EBD"/>
    <w:rsid w:val="00E77463"/>
    <w:rsid w:val="00E84E69"/>
    <w:rsid w:val="00E86499"/>
    <w:rsid w:val="00ED1C00"/>
    <w:rsid w:val="00EF5A5E"/>
    <w:rsid w:val="00F15848"/>
    <w:rsid w:val="00F33246"/>
    <w:rsid w:val="00F34B5C"/>
    <w:rsid w:val="00F73603"/>
    <w:rsid w:val="00F822F3"/>
    <w:rsid w:val="00F8510D"/>
    <w:rsid w:val="00FD1499"/>
    <w:rsid w:val="00FD5B14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48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48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6C36-ADE8-4C89-BFAE-0D3FAC04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2014-04-09T00:31:00Z</cp:lastPrinted>
  <dcterms:created xsi:type="dcterms:W3CDTF">2014-05-08T16:14:00Z</dcterms:created>
  <dcterms:modified xsi:type="dcterms:W3CDTF">2014-05-08T16:14:00Z</dcterms:modified>
</cp:coreProperties>
</file>