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8" w:rsidRPr="00F85738" w:rsidRDefault="00907BA8" w:rsidP="004A1458">
      <w:pPr>
        <w:spacing w:after="0"/>
        <w:jc w:val="center"/>
        <w:rPr>
          <w:rFonts w:ascii="Times New Roman" w:hAnsi="Times New Roman" w:cs="Times New Roman"/>
        </w:rPr>
      </w:pPr>
      <w:r w:rsidRPr="00F857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5C923E14" wp14:editId="716478F4">
            <wp:simplePos x="0" y="0"/>
            <wp:positionH relativeFrom="column">
              <wp:posOffset>1075690</wp:posOffset>
            </wp:positionH>
            <wp:positionV relativeFrom="paragraph">
              <wp:posOffset>165735</wp:posOffset>
            </wp:positionV>
            <wp:extent cx="4206240" cy="666115"/>
            <wp:effectExtent l="0" t="0" r="3810" b="635"/>
            <wp:wrapTight wrapText="bothSides">
              <wp:wrapPolygon edited="0">
                <wp:start x="1859" y="0"/>
                <wp:lineTo x="1859" y="8031"/>
                <wp:lineTo x="0" y="9884"/>
                <wp:lineTo x="0" y="17296"/>
                <wp:lineTo x="98" y="21003"/>
                <wp:lineTo x="7826" y="21003"/>
                <wp:lineTo x="8413" y="21003"/>
                <wp:lineTo x="21522" y="21003"/>
                <wp:lineTo x="21522" y="9884"/>
                <wp:lineTo x="19663" y="8031"/>
                <wp:lineTo x="19761" y="618"/>
                <wp:lineTo x="15359" y="0"/>
                <wp:lineTo x="185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355" w:rsidRPr="00F85738" w:rsidRDefault="00B47355" w:rsidP="004A1458">
      <w:pPr>
        <w:spacing w:after="0"/>
        <w:jc w:val="center"/>
        <w:rPr>
          <w:rFonts w:ascii="Times New Roman" w:hAnsi="Times New Roman" w:cs="Times New Roman"/>
        </w:rPr>
      </w:pPr>
    </w:p>
    <w:p w:rsidR="00DE5F00" w:rsidRPr="00F85738" w:rsidRDefault="00DE5F00" w:rsidP="00D46F5C">
      <w:pPr>
        <w:pBdr>
          <w:bottom w:val="single" w:sz="12" w:space="1" w:color="auto"/>
        </w:pBd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ja-JP"/>
        </w:rPr>
      </w:pPr>
    </w:p>
    <w:p w:rsidR="00907BA8" w:rsidRPr="00DD5728" w:rsidRDefault="00820D9C" w:rsidP="00DE5F00">
      <w:pPr>
        <w:pBdr>
          <w:bottom w:val="single" w:sz="12" w:space="1" w:color="auto"/>
        </w:pBdr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How to </w:t>
      </w:r>
      <w:r w:rsidR="00E135BB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Look Up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an </w:t>
      </w:r>
      <w:r w:rsidR="003B067A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Object Code</w:t>
      </w:r>
      <w:r w:rsidR="00E43EC2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w</w:t>
      </w:r>
      <w:r w:rsidR="00BB4373" w:rsidRPr="00DD572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ithin</w:t>
      </w:r>
      <w:r w:rsidR="00B14E2A" w:rsidRPr="00DD572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</w:t>
      </w:r>
      <w:r w:rsidR="00251017" w:rsidRPr="00DD572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a KFS eDoc</w:t>
      </w:r>
    </w:p>
    <w:p w:rsidR="00B25994" w:rsidRPr="00DD5728" w:rsidRDefault="00772130" w:rsidP="00BB437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Summary:</w:t>
      </w:r>
      <w:r w:rsidR="00BB4373" w:rsidRPr="00DD5728">
        <w:rPr>
          <w:rFonts w:ascii="Times New Roman" w:eastAsia="Times New Roman" w:hAnsi="Times New Roman" w:cs="Times New Roman"/>
        </w:rPr>
        <w:t xml:space="preserve"> </w:t>
      </w:r>
      <w:r w:rsidR="004F3FA2">
        <w:rPr>
          <w:rFonts w:ascii="Times New Roman" w:eastAsia="Times New Roman" w:hAnsi="Times New Roman" w:cs="Times New Roman"/>
        </w:rPr>
        <w:t>Use t</w:t>
      </w:r>
      <w:r w:rsidR="00BB4373" w:rsidRPr="00DD5728">
        <w:rPr>
          <w:rFonts w:ascii="Times New Roman" w:eastAsia="Times New Roman" w:hAnsi="Times New Roman" w:cs="Times New Roman"/>
        </w:rPr>
        <w:t>h</w:t>
      </w:r>
      <w:r w:rsidR="00870D4A" w:rsidRPr="00DD5728">
        <w:rPr>
          <w:rFonts w:ascii="Times New Roman" w:eastAsia="Times New Roman" w:hAnsi="Times New Roman" w:cs="Times New Roman"/>
        </w:rPr>
        <w:t>e</w:t>
      </w:r>
      <w:r w:rsidR="00BB4373" w:rsidRPr="00DD5728">
        <w:rPr>
          <w:rFonts w:ascii="Times New Roman" w:eastAsia="Times New Roman" w:hAnsi="Times New Roman" w:cs="Times New Roman"/>
        </w:rPr>
        <w:t xml:space="preserve"> </w:t>
      </w:r>
      <w:r w:rsidR="00AF5AB6">
        <w:rPr>
          <w:rFonts w:ascii="Times New Roman" w:eastAsia="Times New Roman" w:hAnsi="Times New Roman" w:cs="Times New Roman"/>
        </w:rPr>
        <w:t>Object Code L</w:t>
      </w:r>
      <w:r w:rsidR="000038A5" w:rsidRPr="00DD5728">
        <w:rPr>
          <w:rFonts w:ascii="Times New Roman" w:eastAsia="Times New Roman" w:hAnsi="Times New Roman" w:cs="Times New Roman"/>
        </w:rPr>
        <w:t xml:space="preserve">ookup across multiple document types to find a KFS </w:t>
      </w:r>
      <w:r w:rsidR="00AF5AB6">
        <w:rPr>
          <w:rFonts w:ascii="Times New Roman" w:eastAsia="Times New Roman" w:hAnsi="Times New Roman" w:cs="Times New Roman"/>
        </w:rPr>
        <w:t>Object Code</w:t>
      </w:r>
      <w:r w:rsidR="007B345F">
        <w:rPr>
          <w:rFonts w:ascii="Times New Roman" w:eastAsia="Times New Roman" w:hAnsi="Times New Roman" w:cs="Times New Roman"/>
        </w:rPr>
        <w:t>.</w:t>
      </w:r>
      <w:r w:rsidR="00CF4BD9">
        <w:rPr>
          <w:rFonts w:ascii="Times New Roman" w:eastAsia="Times New Roman" w:hAnsi="Times New Roman" w:cs="Times New Roman"/>
        </w:rPr>
        <w:t xml:space="preserve">  Object codes are neces</w:t>
      </w:r>
      <w:r w:rsidR="004F3FA2">
        <w:rPr>
          <w:rFonts w:ascii="Times New Roman" w:eastAsia="Times New Roman" w:hAnsi="Times New Roman" w:cs="Times New Roman"/>
        </w:rPr>
        <w:t xml:space="preserve">sary on all transactional eDocs </w:t>
      </w:r>
      <w:r w:rsidR="00CF4BD9">
        <w:rPr>
          <w:rFonts w:ascii="Times New Roman" w:eastAsia="Times New Roman" w:hAnsi="Times New Roman" w:cs="Times New Roman"/>
        </w:rPr>
        <w:t>where a KFS Account is required.</w:t>
      </w:r>
    </w:p>
    <w:p w:rsidR="00AE7139" w:rsidRDefault="00AE7139" w:rsidP="00AE713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324B" w:rsidRPr="00DD5728" w:rsidRDefault="001E1D8A" w:rsidP="00AE71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1D8A">
        <w:rPr>
          <w:rFonts w:ascii="Times New Roman" w:eastAsia="Times New Roman" w:hAnsi="Times New Roman" w:cs="Times New Roman"/>
          <w:b/>
        </w:rPr>
        <w:t>Note</w:t>
      </w:r>
      <w:r w:rsidR="00B771B5">
        <w:rPr>
          <w:rFonts w:ascii="Times New Roman" w:eastAsia="Times New Roman" w:hAnsi="Times New Roman" w:cs="Times New Roman"/>
          <w:b/>
        </w:rPr>
        <w:t>s</w:t>
      </w:r>
      <w:r w:rsidRPr="001E1D8A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 w:rsidR="000461C7">
        <w:rPr>
          <w:rFonts w:ascii="Times New Roman" w:eastAsia="Times New Roman" w:hAnsi="Times New Roman" w:cs="Times New Roman"/>
        </w:rPr>
        <w:t xml:space="preserve">Use the </w:t>
      </w:r>
      <w:r w:rsidR="000461C7">
        <w:rPr>
          <w:rFonts w:ascii="Times New Roman" w:eastAsia="Times New Roman" w:hAnsi="Times New Roman" w:cs="Times New Roman"/>
        </w:rPr>
        <w:t>object code name field</w:t>
      </w:r>
      <w:r w:rsidR="000461C7">
        <w:rPr>
          <w:rFonts w:ascii="Times New Roman" w:eastAsia="Times New Roman" w:hAnsi="Times New Roman" w:cs="Times New Roman"/>
        </w:rPr>
        <w:t xml:space="preserve"> to look </w:t>
      </w:r>
      <w:r w:rsidR="00207177">
        <w:rPr>
          <w:rFonts w:ascii="Times New Roman" w:eastAsia="Times New Roman" w:hAnsi="Times New Roman" w:cs="Times New Roman"/>
        </w:rPr>
        <w:t>up an</w:t>
      </w:r>
      <w:r w:rsidR="00CF4BD9">
        <w:rPr>
          <w:rFonts w:ascii="Times New Roman" w:eastAsia="Times New Roman" w:hAnsi="Times New Roman" w:cs="Times New Roman"/>
        </w:rPr>
        <w:t xml:space="preserve"> Object Code </w:t>
      </w:r>
      <w:r w:rsidR="007B345F">
        <w:rPr>
          <w:rFonts w:ascii="Times New Roman" w:eastAsia="Times New Roman" w:hAnsi="Times New Roman" w:cs="Times New Roman"/>
        </w:rPr>
        <w:t>within a KFS eDoc</w:t>
      </w:r>
      <w:r w:rsidR="000461C7">
        <w:rPr>
          <w:rFonts w:ascii="Times New Roman" w:eastAsia="Times New Roman" w:hAnsi="Times New Roman" w:cs="Times New Roman"/>
        </w:rPr>
        <w:t xml:space="preserve">.  </w:t>
      </w:r>
      <w:r w:rsidR="00CF4BD9">
        <w:rPr>
          <w:rFonts w:ascii="Times New Roman" w:eastAsia="Times New Roman" w:hAnsi="Times New Roman" w:cs="Times New Roman"/>
        </w:rPr>
        <w:t xml:space="preserve"> </w:t>
      </w:r>
      <w:r w:rsidR="000461C7">
        <w:rPr>
          <w:rFonts w:ascii="Times New Roman" w:eastAsia="Times New Roman" w:hAnsi="Times New Roman" w:cs="Times New Roman"/>
        </w:rPr>
        <w:t>A</w:t>
      </w:r>
      <w:r w:rsidR="00CF4BD9">
        <w:rPr>
          <w:rFonts w:ascii="Times New Roman" w:eastAsia="Times New Roman" w:hAnsi="Times New Roman" w:cs="Times New Roman"/>
        </w:rPr>
        <w:t xml:space="preserve"> chart for each ‘searchable’ field in the Object Code Lookup screen </w:t>
      </w:r>
      <w:r w:rsidR="000461C7">
        <w:rPr>
          <w:rFonts w:ascii="Times New Roman" w:eastAsia="Times New Roman" w:hAnsi="Times New Roman" w:cs="Times New Roman"/>
        </w:rPr>
        <w:t xml:space="preserve">assists </w:t>
      </w:r>
      <w:r w:rsidR="00CF4BD9">
        <w:rPr>
          <w:rFonts w:ascii="Times New Roman" w:eastAsia="Times New Roman" w:hAnsi="Times New Roman" w:cs="Times New Roman"/>
        </w:rPr>
        <w:t xml:space="preserve">users </w:t>
      </w:r>
      <w:r w:rsidR="00AE447E">
        <w:rPr>
          <w:rFonts w:ascii="Times New Roman" w:eastAsia="Times New Roman" w:hAnsi="Times New Roman" w:cs="Times New Roman"/>
        </w:rPr>
        <w:t xml:space="preserve">with other Object Code </w:t>
      </w:r>
      <w:r w:rsidR="00116401">
        <w:rPr>
          <w:rFonts w:ascii="Times New Roman" w:eastAsia="Times New Roman" w:hAnsi="Times New Roman" w:cs="Times New Roman"/>
        </w:rPr>
        <w:t>L</w:t>
      </w:r>
      <w:r w:rsidR="00AE447E">
        <w:rPr>
          <w:rFonts w:ascii="Times New Roman" w:eastAsia="Times New Roman" w:hAnsi="Times New Roman" w:cs="Times New Roman"/>
        </w:rPr>
        <w:t>ookup</w:t>
      </w:r>
      <w:r w:rsidR="00116401">
        <w:rPr>
          <w:rFonts w:ascii="Times New Roman" w:eastAsia="Times New Roman" w:hAnsi="Times New Roman" w:cs="Times New Roman"/>
        </w:rPr>
        <w:t xml:space="preserve"> type</w:t>
      </w:r>
      <w:r w:rsidR="00AE447E">
        <w:rPr>
          <w:rFonts w:ascii="Times New Roman" w:eastAsia="Times New Roman" w:hAnsi="Times New Roman" w:cs="Times New Roman"/>
        </w:rPr>
        <w:t>s</w:t>
      </w:r>
      <w:r w:rsidR="000038A5" w:rsidRPr="00DD5728">
        <w:rPr>
          <w:rFonts w:ascii="Times New Roman" w:eastAsia="Times New Roman" w:hAnsi="Times New Roman" w:cs="Times New Roman"/>
        </w:rPr>
        <w:t>.</w:t>
      </w:r>
    </w:p>
    <w:p w:rsidR="00DA1CF2" w:rsidRPr="00DD5728" w:rsidRDefault="00DA1CF2" w:rsidP="00FE324B">
      <w:pPr>
        <w:pStyle w:val="NormalWeb"/>
        <w:spacing w:before="0" w:beforeAutospacing="0" w:after="0" w:afterAutospacing="0"/>
        <w:rPr>
          <w:b/>
          <w:sz w:val="22"/>
          <w:szCs w:val="22"/>
        </w:rPr>
      </w:pPr>
    </w:p>
    <w:tbl>
      <w:tblPr>
        <w:tblStyle w:val="MediumShading2-Accent5"/>
        <w:tblpPr w:leftFromText="187" w:rightFromText="187" w:vertAnchor="text" w:horzAnchor="margin" w:tblpXSpec="center" w:tblpY="44"/>
        <w:tblW w:w="10204" w:type="dxa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772"/>
        <w:gridCol w:w="2505"/>
        <w:gridCol w:w="6927"/>
      </w:tblGrid>
      <w:tr w:rsidR="0048416D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DA1CF2" w:rsidRPr="00DD5728" w:rsidRDefault="00DA1CF2" w:rsidP="007A7667">
            <w:pPr>
              <w:ind w:left="-90" w:right="-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5728">
              <w:rPr>
                <w:rFonts w:ascii="Times New Roman" w:eastAsia="Times New Roman" w:hAnsi="Times New Roman" w:cs="Times New Roman"/>
                <w:sz w:val="24"/>
                <w:szCs w:val="24"/>
              </w:rPr>
              <w:t>Steps</w:t>
            </w:r>
          </w:p>
        </w:tc>
        <w:tc>
          <w:tcPr>
            <w:tcW w:w="2505" w:type="dxa"/>
            <w:hideMark/>
          </w:tcPr>
          <w:p w:rsidR="00DA1CF2" w:rsidRPr="00DD572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What </w:t>
            </w:r>
            <w:r w:rsidR="007A53A1" w:rsidRPr="00DD5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you need to do</w:t>
            </w:r>
          </w:p>
        </w:tc>
        <w:tc>
          <w:tcPr>
            <w:tcW w:w="6927" w:type="dxa"/>
            <w:hideMark/>
          </w:tcPr>
          <w:p w:rsidR="00DA1CF2" w:rsidRPr="00DD5728" w:rsidRDefault="00DA1CF2" w:rsidP="00A76F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57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How </w:t>
            </w:r>
            <w:r w:rsidR="007A53A1" w:rsidRPr="00DD57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to do it</w:t>
            </w:r>
          </w:p>
        </w:tc>
      </w:tr>
      <w:tr w:rsidR="0048416D" w:rsidRPr="00DD5728" w:rsidTr="00373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hideMark/>
          </w:tcPr>
          <w:p w:rsidR="00DA1CF2" w:rsidRPr="00DD5728" w:rsidRDefault="00DA1CF2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hideMark/>
          </w:tcPr>
          <w:p w:rsidR="00DA1CF2" w:rsidRPr="00DD5728" w:rsidRDefault="008C62EC" w:rsidP="00251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Within the KFS portal,</w:t>
            </w:r>
            <w:r w:rsidR="007A1F93" w:rsidRPr="00DD57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251017" w:rsidRPr="00DD5728">
              <w:rPr>
                <w:rFonts w:ascii="Times New Roman" w:eastAsia="Calibri" w:hAnsi="Times New Roman" w:cs="Times New Roman"/>
                <w:color w:val="000000"/>
              </w:rPr>
              <w:t>open the Accounting Lines section of an eDoc</w:t>
            </w:r>
          </w:p>
        </w:tc>
        <w:tc>
          <w:tcPr>
            <w:tcW w:w="6927" w:type="dxa"/>
          </w:tcPr>
          <w:p w:rsidR="007A1F93" w:rsidRPr="00DD5728" w:rsidRDefault="001178D5" w:rsidP="00DF6E4A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Users must have first </w:t>
            </w:r>
            <w:r w:rsidR="00BB4373" w:rsidRPr="00DD5728">
              <w:rPr>
                <w:rFonts w:ascii="Times New Roman" w:eastAsia="Times New Roman" w:hAnsi="Times New Roman" w:cs="Times New Roman"/>
              </w:rPr>
              <w:t>initiated</w:t>
            </w:r>
            <w:r w:rsidR="00594666" w:rsidRPr="00DD5728">
              <w:rPr>
                <w:rFonts w:ascii="Times New Roman" w:eastAsia="Times New Roman" w:hAnsi="Times New Roman" w:cs="Times New Roman"/>
              </w:rPr>
              <w:t xml:space="preserve"> and opened a transactional 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eDoc </w:t>
            </w:r>
          </w:p>
          <w:p w:rsidR="00BB4373" w:rsidRPr="00DD5728" w:rsidRDefault="00870D4A" w:rsidP="00DF6E4A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Instructions </w:t>
            </w:r>
            <w:r w:rsidR="00594666" w:rsidRPr="00DD5728">
              <w:rPr>
                <w:rFonts w:ascii="Times New Roman" w:eastAsia="Times New Roman" w:hAnsi="Times New Roman" w:cs="Times New Roman"/>
              </w:rPr>
              <w:t xml:space="preserve">for filling out various types of eDocs are available on the </w:t>
            </w:r>
            <w:hyperlink r:id="rId10" w:history="1">
              <w:r w:rsidR="00594666" w:rsidRPr="007714A0">
                <w:rPr>
                  <w:rStyle w:val="Hyperlink"/>
                  <w:rFonts w:ascii="Times New Roman" w:eastAsia="Times New Roman" w:hAnsi="Times New Roman" w:cs="Times New Roman"/>
                </w:rPr>
                <w:t>UC Learning Center website</w:t>
              </w:r>
            </w:hyperlink>
          </w:p>
          <w:p w:rsidR="00594666" w:rsidRPr="00DD5728" w:rsidRDefault="001178D5" w:rsidP="00DF6E4A">
            <w:pPr>
              <w:pStyle w:val="ListParagraph"/>
              <w:numPr>
                <w:ilvl w:val="0"/>
                <w:numId w:val="1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Navigate to</w:t>
            </w:r>
            <w:r w:rsidR="00396714"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594666" w:rsidRPr="00DD5728">
              <w:rPr>
                <w:rFonts w:ascii="Times New Roman" w:eastAsia="Times New Roman" w:hAnsi="Times New Roman" w:cs="Times New Roman"/>
              </w:rPr>
              <w:t>Accounting Lines section of the eDoc</w:t>
            </w:r>
          </w:p>
          <w:p w:rsidR="007A1F93" w:rsidRPr="00DD5728" w:rsidRDefault="00594666" w:rsidP="0059466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S</w:t>
            </w:r>
            <w:r w:rsidR="00396714" w:rsidRPr="00DD5728">
              <w:rPr>
                <w:rFonts w:ascii="Times New Roman" w:eastAsia="Times New Roman" w:hAnsi="Times New Roman" w:cs="Times New Roman"/>
              </w:rPr>
              <w:t xml:space="preserve">elect the </w:t>
            </w:r>
            <w:r w:rsidR="001178D5" w:rsidRPr="00DD5728">
              <w:rPr>
                <w:rFonts w:ascii="Times New Roman" w:eastAsia="Times New Roman" w:hAnsi="Times New Roman" w:cs="Times New Roman"/>
                <w:b/>
              </w:rPr>
              <w:t>show</w:t>
            </w:r>
            <w:r w:rsidR="001178D5"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="00396714" w:rsidRPr="00DD5728">
              <w:rPr>
                <w:rFonts w:ascii="Times New Roman" w:eastAsia="Times New Roman" w:hAnsi="Times New Roman" w:cs="Times New Roman"/>
              </w:rPr>
              <w:t>button</w:t>
            </w:r>
            <w:r w:rsidRPr="00DD5728">
              <w:rPr>
                <w:rFonts w:ascii="Times New Roman" w:eastAsia="Times New Roman" w:hAnsi="Times New Roman" w:cs="Times New Roman"/>
              </w:rPr>
              <w:t>, if the tab or section is hidden</w:t>
            </w:r>
          </w:p>
          <w:p w:rsidR="007A1F93" w:rsidRPr="00DD5728" w:rsidRDefault="00594666" w:rsidP="00972981">
            <w:pPr>
              <w:pStyle w:val="ListParagraph"/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t xml:space="preserve"> </w:t>
            </w:r>
            <w:r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27DC6A" wp14:editId="343F8B47">
                  <wp:extent cx="2043486" cy="236675"/>
                  <wp:effectExtent l="19050" t="19050" r="13970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07" cy="237199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72981" w:rsidRPr="00DD5728">
              <w:rPr>
                <w:rFonts w:ascii="Times New Roman" w:hAnsi="Times New Roman" w:cs="Times New Roman"/>
                <w:noProof/>
              </w:rPr>
              <w:t xml:space="preserve">  OR </w:t>
            </w:r>
            <w:r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4CEE230" wp14:editId="0FC7F22E">
                  <wp:extent cx="1152939" cy="183904"/>
                  <wp:effectExtent l="19050" t="19050" r="9525" b="260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45" cy="183187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16D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DA1CF2" w:rsidRPr="00DD5728" w:rsidRDefault="00F8573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</w:tcPr>
          <w:p w:rsidR="003F17A1" w:rsidRPr="00DD5728" w:rsidRDefault="0022056B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Input or search for</w:t>
            </w:r>
            <w:r w:rsidR="001178D5" w:rsidRPr="00DD5728">
              <w:rPr>
                <w:rFonts w:ascii="Times New Roman" w:eastAsia="Calibri" w:hAnsi="Times New Roman" w:cs="Times New Roman"/>
                <w:color w:val="000000"/>
              </w:rPr>
              <w:t xml:space="preserve"> a</w:t>
            </w:r>
            <w:r w:rsidR="00594666" w:rsidRPr="00DD5728">
              <w:rPr>
                <w:rFonts w:ascii="Times New Roman" w:eastAsia="Calibri" w:hAnsi="Times New Roman" w:cs="Times New Roman"/>
                <w:color w:val="000000"/>
              </w:rPr>
              <w:t>n</w:t>
            </w:r>
            <w:r w:rsidR="001178D5" w:rsidRPr="00DD572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CA1C4B">
              <w:rPr>
                <w:rFonts w:ascii="Times New Roman" w:eastAsia="Calibri" w:hAnsi="Times New Roman" w:cs="Times New Roman"/>
                <w:color w:val="000000"/>
              </w:rPr>
              <w:t xml:space="preserve">Object Code </w:t>
            </w:r>
            <w:r w:rsidR="001178D5" w:rsidRPr="00DD5728">
              <w:rPr>
                <w:rFonts w:ascii="Times New Roman" w:eastAsia="Calibri" w:hAnsi="Times New Roman" w:cs="Times New Roman"/>
                <w:color w:val="000000"/>
              </w:rPr>
              <w:t xml:space="preserve">to fill out </w:t>
            </w:r>
            <w:r w:rsidR="003F17A1" w:rsidRPr="00DD5728">
              <w:rPr>
                <w:rFonts w:ascii="Times New Roman" w:eastAsia="Calibri" w:hAnsi="Times New Roman" w:cs="Times New Roman"/>
                <w:color w:val="000000"/>
              </w:rPr>
              <w:t xml:space="preserve">the </w:t>
            </w:r>
            <w:r w:rsidR="00594666" w:rsidRPr="00DD5728">
              <w:rPr>
                <w:rFonts w:ascii="Times New Roman" w:eastAsia="Calibri" w:hAnsi="Times New Roman" w:cs="Times New Roman"/>
                <w:color w:val="000000"/>
              </w:rPr>
              <w:t>Accounting Lines section/tab</w:t>
            </w:r>
          </w:p>
          <w:p w:rsidR="00DA1CF2" w:rsidRPr="00DD5728" w:rsidRDefault="00CF4BD9" w:rsidP="00DF6E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04A27EAB" wp14:editId="68E2232F">
                  <wp:simplePos x="0" y="0"/>
                  <wp:positionH relativeFrom="column">
                    <wp:posOffset>1236345</wp:posOffset>
                  </wp:positionH>
                  <wp:positionV relativeFrom="paragraph">
                    <wp:posOffset>517525</wp:posOffset>
                  </wp:positionV>
                  <wp:extent cx="4540195" cy="714731"/>
                  <wp:effectExtent l="19050" t="19050" r="13335" b="285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195" cy="714731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7" w:type="dxa"/>
          </w:tcPr>
          <w:p w:rsidR="002766B0" w:rsidRPr="002766B0" w:rsidRDefault="002766B0" w:rsidP="00594666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E625B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6E0066">
              <w:rPr>
                <w:rFonts w:ascii="Times New Roman" w:eastAsia="Times New Roman" w:hAnsi="Times New Roman" w:cs="Times New Roman"/>
                <w:b/>
              </w:rPr>
              <w:t>Object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 field </w:t>
            </w:r>
            <w:r w:rsidR="001F02C2">
              <w:rPr>
                <w:rFonts w:ascii="Times New Roman" w:eastAsia="Times New Roman" w:hAnsi="Times New Roman" w:cs="Times New Roman"/>
              </w:rPr>
              <w:t>is used for enterin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="007F7F4C">
              <w:rPr>
                <w:rFonts w:ascii="Times New Roman" w:eastAsia="Times New Roman" w:hAnsi="Times New Roman" w:cs="Times New Roman"/>
              </w:rPr>
              <w:t xml:space="preserve"> the KFS Object Code number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2766B0" w:rsidRPr="006E0066" w:rsidRDefault="002766B0" w:rsidP="002766B0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E0066">
              <w:rPr>
                <w:rFonts w:ascii="Times New Roman" w:eastAsia="Times New Roman" w:hAnsi="Times New Roman" w:cs="Times New Roman"/>
              </w:rPr>
              <w:t xml:space="preserve">If </w:t>
            </w:r>
            <w:r w:rsidR="001F02C2" w:rsidRPr="006E0066">
              <w:rPr>
                <w:rFonts w:ascii="Times New Roman" w:eastAsia="Times New Roman" w:hAnsi="Times New Roman" w:cs="Times New Roman"/>
              </w:rPr>
              <w:t>you</w:t>
            </w:r>
            <w:r w:rsidRPr="006E0066">
              <w:rPr>
                <w:rFonts w:ascii="Times New Roman" w:eastAsia="Times New Roman" w:hAnsi="Times New Roman" w:cs="Times New Roman"/>
              </w:rPr>
              <w:t xml:space="preserve"> already know the number</w:t>
            </w:r>
            <w:r w:rsidR="001F02C2" w:rsidRPr="006E0066">
              <w:rPr>
                <w:rFonts w:ascii="Times New Roman" w:eastAsia="Times New Roman" w:hAnsi="Times New Roman" w:cs="Times New Roman"/>
              </w:rPr>
              <w:t xml:space="preserve">, </w:t>
            </w:r>
            <w:r w:rsidR="006E0066" w:rsidRPr="006E0066">
              <w:rPr>
                <w:rFonts w:ascii="Times New Roman" w:eastAsia="Times New Roman" w:hAnsi="Times New Roman" w:cs="Times New Roman"/>
              </w:rPr>
              <w:t>e</w:t>
            </w:r>
            <w:r w:rsidR="001F02C2" w:rsidRPr="006E0066">
              <w:rPr>
                <w:rFonts w:ascii="Times New Roman" w:eastAsia="Times New Roman" w:hAnsi="Times New Roman" w:cs="Times New Roman"/>
              </w:rPr>
              <w:t>nter</w:t>
            </w:r>
            <w:r w:rsidRPr="006E0066">
              <w:rPr>
                <w:rFonts w:ascii="Times New Roman" w:eastAsia="Times New Roman" w:hAnsi="Times New Roman" w:cs="Times New Roman"/>
              </w:rPr>
              <w:t xml:space="preserve"> it </w:t>
            </w:r>
            <w:r w:rsidR="006E0066" w:rsidRPr="006E0066">
              <w:rPr>
                <w:rFonts w:ascii="Times New Roman" w:eastAsia="Times New Roman" w:hAnsi="Times New Roman" w:cs="Times New Roman"/>
              </w:rPr>
              <w:t>i</w:t>
            </w:r>
            <w:r w:rsidRPr="006E0066">
              <w:rPr>
                <w:rFonts w:ascii="Times New Roman" w:eastAsia="Times New Roman" w:hAnsi="Times New Roman" w:cs="Times New Roman"/>
              </w:rPr>
              <w:t>n this field and</w:t>
            </w:r>
            <w:r w:rsidR="006E0066" w:rsidRPr="006E0066">
              <w:rPr>
                <w:rFonts w:ascii="Times New Roman" w:eastAsia="Times New Roman" w:hAnsi="Times New Roman" w:cs="Times New Roman"/>
              </w:rPr>
              <w:t xml:space="preserve"> then </w:t>
            </w:r>
            <w:r w:rsidR="0015478F" w:rsidRPr="006E0066">
              <w:rPr>
                <w:rFonts w:ascii="Times New Roman" w:eastAsia="Times New Roman" w:hAnsi="Times New Roman" w:cs="Times New Roman"/>
              </w:rPr>
              <w:t xml:space="preserve">go directly to </w:t>
            </w:r>
            <w:r w:rsidR="0015478F" w:rsidRPr="006E0066">
              <w:rPr>
                <w:rFonts w:ascii="Times New Roman" w:eastAsia="Times New Roman" w:hAnsi="Times New Roman" w:cs="Times New Roman"/>
                <w:b/>
              </w:rPr>
              <w:t>Step 7</w:t>
            </w:r>
            <w:r w:rsidR="006E0066" w:rsidRPr="006E0066">
              <w:rPr>
                <w:rFonts w:ascii="Times New Roman" w:eastAsia="Times New Roman" w:hAnsi="Times New Roman" w:cs="Times New Roman"/>
              </w:rPr>
              <w:t xml:space="preserve"> below</w:t>
            </w:r>
            <w:r w:rsidRPr="006E006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94666" w:rsidRPr="00DD5728" w:rsidRDefault="002766B0" w:rsidP="00594666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perform a search</w:t>
            </w:r>
            <w:r w:rsidR="0015478F">
              <w:rPr>
                <w:rFonts w:ascii="Times New Roman" w:eastAsia="Times New Roman" w:hAnsi="Times New Roman" w:cs="Times New Roman"/>
                <w:color w:val="000000"/>
              </w:rPr>
              <w:t xml:space="preserve"> for the Object Code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s</w:t>
            </w:r>
            <w:r w:rsidR="00DF6E4A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elect the </w:t>
            </w:r>
            <w:r w:rsidR="00DF6E4A"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6C77FDC" wp14:editId="4E80D5BD">
                  <wp:extent cx="120673" cy="113969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58" cy="11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F6E4A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5478F">
              <w:rPr>
                <w:rFonts w:ascii="Times New Roman" w:eastAsia="Times New Roman" w:hAnsi="Times New Roman" w:cs="Times New Roman"/>
                <w:color w:val="000000"/>
              </w:rPr>
              <w:t>next to</w:t>
            </w:r>
            <w:r w:rsidR="00DF6E4A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F4BD9" w:rsidRPr="006E0066">
              <w:rPr>
                <w:rFonts w:ascii="Times New Roman" w:eastAsia="Times New Roman" w:hAnsi="Times New Roman" w:cs="Times New Roman"/>
                <w:b/>
                <w:color w:val="000000"/>
              </w:rPr>
              <w:t>Object</w:t>
            </w:r>
            <w:r w:rsidR="00DF6E4A" w:rsidRPr="006E00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DF6E4A" w:rsidRPr="00DD5728" w:rsidRDefault="006E0066" w:rsidP="00594666">
            <w:pPr>
              <w:pStyle w:val="ListParagraph"/>
              <w:numPr>
                <w:ilvl w:val="0"/>
                <w:numId w:val="2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This displays the</w:t>
            </w:r>
            <w:r w:rsidR="00594666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A1C4B">
              <w:rPr>
                <w:rFonts w:ascii="Times New Roman" w:eastAsia="Times New Roman" w:hAnsi="Times New Roman" w:cs="Times New Roman"/>
                <w:color w:val="000000"/>
              </w:rPr>
              <w:t>Object Code</w:t>
            </w:r>
            <w:r w:rsidR="00594666" w:rsidRPr="00DD5728">
              <w:rPr>
                <w:rFonts w:ascii="Times New Roman" w:eastAsia="Times New Roman" w:hAnsi="Times New Roman" w:cs="Times New Roman"/>
                <w:color w:val="000000"/>
              </w:rPr>
              <w:t xml:space="preserve"> Lookup search screen   </w:t>
            </w:r>
          </w:p>
          <w:p w:rsidR="00594666" w:rsidRPr="00DD5728" w:rsidRDefault="00594666" w:rsidP="00594666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The screen shot </w:t>
            </w:r>
            <w:r w:rsidR="002766B0">
              <w:rPr>
                <w:rFonts w:ascii="Times New Roman" w:eastAsia="Times New Roman" w:hAnsi="Times New Roman" w:cs="Times New Roman"/>
                <w:i/>
                <w:color w:val="000000"/>
              </w:rPr>
              <w:t>(below)</w:t>
            </w:r>
            <w:r w:rsidR="006E00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>is an example</w:t>
            </w:r>
            <w:r w:rsidR="006E00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of</w:t>
            </w:r>
            <w:r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1F02C2">
              <w:rPr>
                <w:rFonts w:ascii="Times New Roman" w:eastAsia="Times New Roman" w:hAnsi="Times New Roman" w:cs="Times New Roman"/>
                <w:i/>
                <w:color w:val="000000"/>
              </w:rPr>
              <w:t>an Accounting Lines section</w:t>
            </w:r>
            <w:r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>.  Some document</w:t>
            </w:r>
            <w:r w:rsidR="00E43511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Pr="00DD572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may include additional fields.</w:t>
            </w: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DF6E4A" w:rsidRPr="00DD5728" w:rsidRDefault="00DF6E4A" w:rsidP="00CF4BD9">
            <w:pPr>
              <w:pStyle w:val="ListParagraph"/>
              <w:ind w:left="23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6E4A" w:rsidRPr="00DD5728" w:rsidRDefault="00DF6E4A" w:rsidP="00DF6E4A">
            <w:pPr>
              <w:pStyle w:val="ListParagraph"/>
              <w:ind w:left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D7669" w:rsidRPr="00DD5728" w:rsidRDefault="007D7669" w:rsidP="005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416D" w:rsidRPr="00DD5728" w:rsidTr="00373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972981" w:rsidRPr="00DD5728" w:rsidRDefault="00BC7858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</w:tcPr>
          <w:p w:rsidR="00972981" w:rsidRPr="00DD5728" w:rsidRDefault="001F02C2" w:rsidP="008C6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Enter</w:t>
            </w:r>
            <w:r w:rsidR="00972981" w:rsidRPr="00DD5728">
              <w:rPr>
                <w:rFonts w:ascii="Times New Roman" w:eastAsia="Calibri" w:hAnsi="Times New Roman" w:cs="Times New Roman"/>
                <w:color w:val="000000"/>
              </w:rPr>
              <w:t xml:space="preserve"> the </w:t>
            </w:r>
            <w:r w:rsidR="00BC7858" w:rsidRPr="00DD5728">
              <w:rPr>
                <w:rFonts w:ascii="Times New Roman" w:eastAsia="Calibri" w:hAnsi="Times New Roman" w:cs="Times New Roman"/>
                <w:color w:val="000000"/>
              </w:rPr>
              <w:t xml:space="preserve">correct </w:t>
            </w:r>
            <w:r w:rsidR="008C62EC">
              <w:rPr>
                <w:rFonts w:ascii="Times New Roman" w:eastAsia="Calibri" w:hAnsi="Times New Roman" w:cs="Times New Roman"/>
                <w:color w:val="000000"/>
              </w:rPr>
              <w:t xml:space="preserve">Fiscal Year and </w:t>
            </w:r>
            <w:r w:rsidR="00972981" w:rsidRPr="00DD5728">
              <w:rPr>
                <w:rFonts w:ascii="Times New Roman" w:eastAsia="Calibri" w:hAnsi="Times New Roman" w:cs="Times New Roman"/>
                <w:color w:val="000000"/>
              </w:rPr>
              <w:t>Campus Code</w:t>
            </w:r>
          </w:p>
        </w:tc>
        <w:tc>
          <w:tcPr>
            <w:tcW w:w="6927" w:type="dxa"/>
          </w:tcPr>
          <w:p w:rsidR="00972981" w:rsidRPr="00DD5728" w:rsidRDefault="001550DD" w:rsidP="001417A2">
            <w:pPr>
              <w:pStyle w:val="ListParagraph"/>
              <w:numPr>
                <w:ilvl w:val="0"/>
                <w:numId w:val="3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91440" distR="45720" simplePos="0" relativeHeight="251727872" behindDoc="0" locked="0" layoutInCell="1" allowOverlap="1" wp14:anchorId="14738F7C" wp14:editId="30544544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399415</wp:posOffset>
                  </wp:positionV>
                  <wp:extent cx="2762885" cy="2091055"/>
                  <wp:effectExtent l="19050" t="19050" r="18415" b="2349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885" cy="20910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2981" w:rsidRPr="00DD5728">
              <w:rPr>
                <w:rFonts w:ascii="Times New Roman" w:eastAsia="Times New Roman" w:hAnsi="Times New Roman" w:cs="Times New Roman"/>
              </w:rPr>
              <w:t xml:space="preserve">Ensure that the </w:t>
            </w:r>
            <w:r w:rsidR="00CA1C4B" w:rsidRPr="006E0066">
              <w:rPr>
                <w:rFonts w:ascii="Times New Roman" w:eastAsia="Times New Roman" w:hAnsi="Times New Roman" w:cs="Times New Roman"/>
                <w:b/>
              </w:rPr>
              <w:t>Fiscal Year</w:t>
            </w:r>
            <w:r w:rsidR="00CA1C4B">
              <w:rPr>
                <w:rFonts w:ascii="Times New Roman" w:eastAsia="Times New Roman" w:hAnsi="Times New Roman" w:cs="Times New Roman"/>
              </w:rPr>
              <w:t xml:space="preserve"> and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 </w:t>
            </w:r>
            <w:r w:rsidR="00972981" w:rsidRPr="006E0066">
              <w:rPr>
                <w:rFonts w:ascii="Times New Roman" w:eastAsia="Times New Roman" w:hAnsi="Times New Roman" w:cs="Times New Roman"/>
                <w:b/>
              </w:rPr>
              <w:t>Chart Code</w:t>
            </w:r>
            <w:r w:rsidR="00972981" w:rsidRPr="00DD5728">
              <w:rPr>
                <w:rFonts w:ascii="Times New Roman" w:eastAsia="Times New Roman" w:hAnsi="Times New Roman" w:cs="Times New Roman"/>
              </w:rPr>
              <w:t xml:space="preserve"> is correct</w:t>
            </w:r>
          </w:p>
          <w:p w:rsidR="00BC7858" w:rsidRPr="00DD5728" w:rsidRDefault="00BC7858" w:rsidP="00972981">
            <w:pPr>
              <w:pStyle w:val="ListParagraph"/>
              <w:numPr>
                <w:ilvl w:val="1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This will </w:t>
            </w:r>
            <w:r w:rsidR="003F1522">
              <w:rPr>
                <w:rFonts w:ascii="Times New Roman" w:eastAsia="Times New Roman" w:hAnsi="Times New Roman" w:cs="Times New Roman"/>
              </w:rPr>
              <w:t xml:space="preserve">be 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automatically filled in, </w:t>
            </w:r>
            <w:r w:rsidRPr="00DD5728">
              <w:rPr>
                <w:rFonts w:ascii="Times New Roman" w:eastAsia="Times New Roman" w:hAnsi="Times New Roman" w:cs="Times New Roman"/>
              </w:rPr>
              <w:t>but can be changed</w:t>
            </w:r>
          </w:p>
          <w:p w:rsidR="007B0010" w:rsidRPr="00DD5728" w:rsidRDefault="007B0010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F1522" w:rsidRDefault="003F1522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BC7858" w:rsidRPr="001E625B" w:rsidRDefault="00BC7858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1E625B">
              <w:rPr>
                <w:rFonts w:ascii="Times New Roman" w:eastAsia="Times New Roman" w:hAnsi="Times New Roman" w:cs="Times New Roman"/>
                <w:i/>
              </w:rPr>
              <w:t>Examples:</w:t>
            </w:r>
          </w:p>
          <w:p w:rsidR="00BC7858" w:rsidRPr="00DD5728" w:rsidRDefault="00972981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IR= UC Irvine</w:t>
            </w:r>
          </w:p>
          <w:p w:rsidR="00BC7858" w:rsidRDefault="00972981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MC= Medical Center</w:t>
            </w:r>
          </w:p>
          <w:p w:rsidR="007F7F4C" w:rsidRPr="007F7F4C" w:rsidRDefault="007F7F4C" w:rsidP="007F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7F7F4C">
              <w:rPr>
                <w:rFonts w:ascii="Times New Roman" w:eastAsia="Times New Roman" w:hAnsi="Times New Roman" w:cs="Times New Roman"/>
              </w:rPr>
              <w:t>SW= System Wide</w:t>
            </w:r>
          </w:p>
          <w:p w:rsidR="007F7F4C" w:rsidRPr="00DD5728" w:rsidRDefault="007F7F4C" w:rsidP="007F7F4C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FF1878">
              <w:rPr>
                <w:rFonts w:ascii="Times New Roman" w:eastAsia="Times New Roman" w:hAnsi="Times New Roman" w:cs="Times New Roman"/>
              </w:rPr>
              <w:t>UC=University of C</w:t>
            </w:r>
            <w:r>
              <w:rPr>
                <w:rFonts w:ascii="Times New Roman" w:eastAsia="Times New Roman" w:hAnsi="Times New Roman" w:cs="Times New Roman"/>
              </w:rPr>
              <w:t>alifornia</w:t>
            </w:r>
          </w:p>
          <w:p w:rsidR="00E27B05" w:rsidRPr="00DD5728" w:rsidRDefault="00E27B05" w:rsidP="00BC7858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27B05" w:rsidRPr="001E625B" w:rsidRDefault="00E27B05" w:rsidP="004D050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E04CAE" w:rsidRPr="00DD5728" w:rsidRDefault="00E04CAE" w:rsidP="004D0503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8416D" w:rsidRPr="00DD5728" w:rsidTr="001F0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96714" w:rsidRPr="00DD5728" w:rsidRDefault="00CA1C4B" w:rsidP="00CA1C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05" w:type="dxa"/>
          </w:tcPr>
          <w:p w:rsidR="00E27B05" w:rsidRPr="00DD5728" w:rsidRDefault="00CA1C4B" w:rsidP="00E2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Search for an Object Code</w:t>
            </w:r>
            <w:r w:rsidR="00E27B05" w:rsidRPr="00DD5728">
              <w:rPr>
                <w:rFonts w:ascii="Times New Roman" w:eastAsia="Calibri" w:hAnsi="Times New Roman" w:cs="Times New Roman"/>
                <w:color w:val="000000"/>
              </w:rPr>
              <w:t>:</w:t>
            </w:r>
          </w:p>
          <w:p w:rsidR="00396714" w:rsidRPr="008C62EC" w:rsidRDefault="00CA1C4B" w:rsidP="00CA1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8C62EC">
              <w:rPr>
                <w:rFonts w:ascii="Times New Roman" w:eastAsia="Calibri" w:hAnsi="Times New Roman" w:cs="Times New Roman"/>
                <w:color w:val="000000"/>
              </w:rPr>
              <w:t xml:space="preserve">Based on the Object Code </w:t>
            </w:r>
            <w:r w:rsidR="004D0503" w:rsidRPr="008C62EC">
              <w:rPr>
                <w:rFonts w:ascii="Times New Roman" w:eastAsia="Calibri" w:hAnsi="Times New Roman" w:cs="Times New Roman"/>
                <w:color w:val="000000"/>
              </w:rPr>
              <w:t>Name</w:t>
            </w:r>
            <w:r w:rsidR="00E27B05" w:rsidRPr="008C62E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6927" w:type="dxa"/>
          </w:tcPr>
          <w:p w:rsidR="00396714" w:rsidRDefault="008C62EC" w:rsidP="00047960">
            <w:pPr>
              <w:pStyle w:val="ListParagraph"/>
              <w:numPr>
                <w:ilvl w:val="0"/>
                <w:numId w:val="8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</w:t>
            </w:r>
            <w:r w:rsidR="00396714"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924035" w:rsidRPr="006E0066">
              <w:rPr>
                <w:rFonts w:ascii="Times New Roman" w:eastAsia="Times New Roman" w:hAnsi="Times New Roman" w:cs="Times New Roman"/>
                <w:b/>
              </w:rPr>
              <w:t>Object Code</w:t>
            </w:r>
            <w:r w:rsidR="00396714" w:rsidRPr="006E0066">
              <w:rPr>
                <w:rFonts w:ascii="Times New Roman" w:eastAsia="Times New Roman" w:hAnsi="Times New Roman" w:cs="Times New Roman"/>
                <w:b/>
              </w:rPr>
              <w:t xml:space="preserve"> Name</w:t>
            </w:r>
            <w:r w:rsidR="00E27B05"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="00396714" w:rsidRPr="00DD5728">
              <w:rPr>
                <w:rFonts w:ascii="Times New Roman" w:eastAsia="Times New Roman" w:hAnsi="Times New Roman" w:cs="Times New Roman"/>
              </w:rPr>
              <w:t xml:space="preserve">field 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enter </w:t>
            </w:r>
            <w:r w:rsidR="000343BE" w:rsidRPr="00DD5728">
              <w:rPr>
                <w:rFonts w:ascii="Times New Roman" w:eastAsia="Times New Roman" w:hAnsi="Times New Roman" w:cs="Times New Roman"/>
              </w:rPr>
              <w:t xml:space="preserve">a portion of the </w:t>
            </w:r>
            <w:r w:rsidR="00924035">
              <w:rPr>
                <w:rFonts w:ascii="Times New Roman" w:eastAsia="Times New Roman" w:hAnsi="Times New Roman" w:cs="Times New Roman"/>
              </w:rPr>
              <w:t>desired Object Code</w:t>
            </w:r>
            <w:r w:rsidR="00047960"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="000343BE" w:rsidRPr="00DD5728">
              <w:rPr>
                <w:rFonts w:ascii="Times New Roman" w:eastAsia="Times New Roman" w:hAnsi="Times New Roman" w:cs="Times New Roman"/>
              </w:rPr>
              <w:t>name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.  </w:t>
            </w:r>
            <w:r w:rsidR="002532AA">
              <w:rPr>
                <w:rFonts w:ascii="Times New Roman" w:eastAsia="Times New Roman" w:hAnsi="Times New Roman" w:cs="Times New Roman"/>
              </w:rPr>
              <w:t>You may u</w:t>
            </w:r>
            <w:r w:rsidR="001F02C2">
              <w:rPr>
                <w:rFonts w:ascii="Times New Roman" w:eastAsia="Times New Roman" w:hAnsi="Times New Roman" w:cs="Times New Roman"/>
              </w:rPr>
              <w:t>se</w:t>
            </w:r>
            <w:r w:rsidR="000343BE" w:rsidRPr="00DD5728">
              <w:rPr>
                <w:rFonts w:ascii="Times New Roman" w:eastAsia="Times New Roman" w:hAnsi="Times New Roman" w:cs="Times New Roman"/>
              </w:rPr>
              <w:t xml:space="preserve"> asterisks (*) as search qualifiers</w:t>
            </w:r>
          </w:p>
          <w:p w:rsidR="00924035" w:rsidRDefault="00792D46" w:rsidP="00924035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Almost all</w:t>
            </w:r>
            <w:r w:rsidR="00924035">
              <w:rPr>
                <w:rFonts w:ascii="Times New Roman" w:eastAsia="Times New Roman" w:hAnsi="Times New Roman" w:cs="Times New Roman"/>
              </w:rPr>
              <w:t xml:space="preserve"> object code names are in </w:t>
            </w:r>
            <w:r w:rsidR="002532AA">
              <w:rPr>
                <w:rFonts w:ascii="Times New Roman" w:eastAsia="Times New Roman" w:hAnsi="Times New Roman" w:cs="Times New Roman"/>
              </w:rPr>
              <w:t xml:space="preserve">the </w:t>
            </w:r>
            <w:r w:rsidR="00924035">
              <w:rPr>
                <w:rFonts w:ascii="Times New Roman" w:eastAsia="Times New Roman" w:hAnsi="Times New Roman" w:cs="Times New Roman"/>
              </w:rPr>
              <w:t>plural form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, e.g. </w:t>
            </w:r>
            <w:r w:rsidR="00924035" w:rsidRPr="002532AA">
              <w:rPr>
                <w:rFonts w:ascii="Times New Roman" w:eastAsia="Times New Roman" w:hAnsi="Times New Roman" w:cs="Times New Roman"/>
                <w:b/>
              </w:rPr>
              <w:t>Supplies</w:t>
            </w:r>
            <w:r w:rsidR="00924035">
              <w:rPr>
                <w:rFonts w:ascii="Times New Roman" w:eastAsia="Times New Roman" w:hAnsi="Times New Roman" w:cs="Times New Roman"/>
              </w:rPr>
              <w:t xml:space="preserve"> vs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 </w:t>
            </w:r>
            <w:r w:rsidR="001F02C2" w:rsidRPr="002532AA">
              <w:rPr>
                <w:rFonts w:ascii="Times New Roman" w:eastAsia="Times New Roman" w:hAnsi="Times New Roman" w:cs="Times New Roman"/>
                <w:b/>
              </w:rPr>
              <w:t>Supply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. </w:t>
            </w:r>
            <w:r w:rsidR="002532AA">
              <w:rPr>
                <w:rFonts w:ascii="Times New Roman" w:eastAsia="Times New Roman" w:hAnsi="Times New Roman" w:cs="Times New Roman"/>
              </w:rPr>
              <w:t>S</w:t>
            </w:r>
            <w:r w:rsidR="00924035">
              <w:rPr>
                <w:rFonts w:ascii="Times New Roman" w:eastAsia="Times New Roman" w:hAnsi="Times New Roman" w:cs="Times New Roman"/>
              </w:rPr>
              <w:t>earch for partial words or by the plural name</w:t>
            </w:r>
            <w:r>
              <w:rPr>
                <w:rFonts w:ascii="Times New Roman" w:eastAsia="Times New Roman" w:hAnsi="Times New Roman" w:cs="Times New Roman"/>
              </w:rPr>
              <w:t xml:space="preserve"> spelling</w:t>
            </w:r>
          </w:p>
          <w:p w:rsidR="00AD0238" w:rsidRPr="00924035" w:rsidRDefault="001F02C2" w:rsidP="008C62EC">
            <w:pPr>
              <w:pStyle w:val="ListParagraph"/>
              <w:numPr>
                <w:ilvl w:val="0"/>
                <w:numId w:val="8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Press</w:t>
            </w:r>
            <w:r w:rsidR="00AD0238" w:rsidRPr="00924035">
              <w:rPr>
                <w:rFonts w:ascii="Times New Roman" w:eastAsia="Times New Roman" w:hAnsi="Times New Roman" w:cs="Times New Roman"/>
              </w:rPr>
              <w:t xml:space="preserve"> the </w:t>
            </w:r>
            <w:r w:rsidR="00AD0238" w:rsidRPr="00924035">
              <w:rPr>
                <w:rFonts w:ascii="Times New Roman" w:eastAsia="Times New Roman" w:hAnsi="Times New Roman" w:cs="Times New Roman"/>
                <w:b/>
              </w:rPr>
              <w:t>search</w:t>
            </w:r>
            <w:r w:rsidR="00AD0238" w:rsidRPr="00924035">
              <w:rPr>
                <w:rFonts w:ascii="Times New Roman" w:eastAsia="Times New Roman" w:hAnsi="Times New Roman" w:cs="Times New Roman"/>
              </w:rPr>
              <w:t xml:space="preserve"> button</w:t>
            </w:r>
          </w:p>
          <w:p w:rsidR="00AD0238" w:rsidRPr="00DD5728" w:rsidRDefault="00AD0238" w:rsidP="008C62EC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3B055F" w:rsidRDefault="000343BE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DD5728">
              <w:rPr>
                <w:rFonts w:ascii="Times New Roman" w:eastAsia="Times New Roman" w:hAnsi="Times New Roman" w:cs="Times New Roman"/>
                <w:i/>
              </w:rPr>
              <w:t xml:space="preserve">Note: 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Asterisks are a way to search in KFS if </w:t>
            </w:r>
            <w:r w:rsidR="001F02C2">
              <w:rPr>
                <w:rFonts w:ascii="Times New Roman" w:eastAsia="Times New Roman" w:hAnsi="Times New Roman" w:cs="Times New Roman"/>
              </w:rPr>
              <w:t>you don’t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 know an exact match for something</w:t>
            </w:r>
          </w:p>
          <w:p w:rsidR="00122571" w:rsidRPr="00DD5728" w:rsidRDefault="00F85738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 w:rsidRPr="00DD5728"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</w:p>
          <w:p w:rsidR="00A00428" w:rsidRDefault="00A00428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Note: 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Selecting the </w:t>
            </w:r>
            <w:r w:rsidRPr="002532AA">
              <w:rPr>
                <w:rFonts w:ascii="Times New Roman" w:eastAsia="Times New Roman" w:hAnsi="Times New Roman" w:cs="Times New Roman"/>
                <w:b/>
              </w:rPr>
              <w:t>cancel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 button at any time in this lookup will cancel the search and take 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you </w:t>
            </w:r>
            <w:r w:rsidRPr="001E625B">
              <w:rPr>
                <w:rFonts w:ascii="Times New Roman" w:eastAsia="Times New Roman" w:hAnsi="Times New Roman" w:cs="Times New Roman"/>
              </w:rPr>
              <w:t xml:space="preserve">back to 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1E625B">
              <w:rPr>
                <w:rFonts w:ascii="Times New Roman" w:eastAsia="Times New Roman" w:hAnsi="Times New Roman" w:cs="Times New Roman"/>
              </w:rPr>
              <w:t>e-Doc</w:t>
            </w:r>
          </w:p>
          <w:p w:rsidR="00A00428" w:rsidRDefault="00A00428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A00428" w:rsidRDefault="00A00428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p w:rsidR="00047960" w:rsidRDefault="001F02C2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noProof/>
              </w:rPr>
              <w:drawing>
                <wp:anchor distT="0" distB="0" distL="45720" distR="45720" simplePos="0" relativeHeight="251734016" behindDoc="0" locked="0" layoutInCell="1" allowOverlap="1" wp14:anchorId="1C301BC2" wp14:editId="7CA59F2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-1203325</wp:posOffset>
                  </wp:positionV>
                  <wp:extent cx="2934970" cy="2230755"/>
                  <wp:effectExtent l="19050" t="19050" r="17780" b="17145"/>
                  <wp:wrapTight wrapText="bothSides">
                    <wp:wrapPolygon edited="0">
                      <wp:start x="-140" y="-184"/>
                      <wp:lineTo x="-140" y="21582"/>
                      <wp:lineTo x="21591" y="21582"/>
                      <wp:lineTo x="21591" y="-184"/>
                      <wp:lineTo x="-140" y="-18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970" cy="22307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738" w:rsidRPr="00DD5728">
              <w:rPr>
                <w:rFonts w:ascii="Times New Roman" w:eastAsia="Times New Roman" w:hAnsi="Times New Roman" w:cs="Times New Roman"/>
                <w:i/>
              </w:rPr>
              <w:t xml:space="preserve">The list below describes the different </w:t>
            </w:r>
            <w:r w:rsidR="00122571" w:rsidRPr="00DD5728">
              <w:rPr>
                <w:rFonts w:ascii="Times New Roman" w:eastAsia="Times New Roman" w:hAnsi="Times New Roman" w:cs="Times New Roman"/>
                <w:i/>
              </w:rPr>
              <w:t>combinations</w:t>
            </w:r>
            <w:r w:rsidR="00F85738" w:rsidRPr="00DD5728">
              <w:rPr>
                <w:rFonts w:ascii="Times New Roman" w:eastAsia="Times New Roman" w:hAnsi="Times New Roman" w:cs="Times New Roman"/>
                <w:i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i/>
              </w:rPr>
              <w:t>f</w:t>
            </w:r>
            <w:r w:rsidR="00F85738" w:rsidRPr="00DD5728">
              <w:rPr>
                <w:rFonts w:ascii="Times New Roman" w:eastAsia="Times New Roman" w:hAnsi="Times New Roman" w:cs="Times New Roman"/>
                <w:i/>
              </w:rPr>
              <w:t xml:space="preserve"> text and asterisks to help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you </w:t>
            </w:r>
            <w:r w:rsidR="00F85738" w:rsidRPr="00DD5728">
              <w:rPr>
                <w:rFonts w:ascii="Times New Roman" w:eastAsia="Times New Roman" w:hAnsi="Times New Roman" w:cs="Times New Roman"/>
                <w:i/>
              </w:rPr>
              <w:t xml:space="preserve">find the desired </w:t>
            </w:r>
            <w:r w:rsidR="00924035">
              <w:rPr>
                <w:rFonts w:ascii="Times New Roman" w:eastAsia="Times New Roman" w:hAnsi="Times New Roman" w:cs="Times New Roman"/>
                <w:i/>
              </w:rPr>
              <w:t>Object Code</w:t>
            </w:r>
            <w:r w:rsidR="007F7F4C">
              <w:rPr>
                <w:rFonts w:ascii="Times New Roman" w:eastAsia="Times New Roman" w:hAnsi="Times New Roman" w:cs="Times New Roman"/>
                <w:i/>
              </w:rPr>
              <w:t xml:space="preserve"> by name</w:t>
            </w:r>
          </w:p>
          <w:p w:rsidR="001F02C2" w:rsidRPr="00DD5728" w:rsidRDefault="001F02C2" w:rsidP="008C6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  <w:tbl>
            <w:tblPr>
              <w:tblStyle w:val="TableGrid"/>
              <w:tblW w:w="647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923"/>
              <w:gridCol w:w="2964"/>
              <w:gridCol w:w="1588"/>
            </w:tblGrid>
            <w:tr w:rsidR="00373EBD" w:rsidRPr="00DD5728" w:rsidTr="00BE5754">
              <w:trPr>
                <w:trHeight w:val="271"/>
              </w:trPr>
              <w:tc>
                <w:tcPr>
                  <w:tcW w:w="1923" w:type="dxa"/>
                  <w:shd w:val="clear" w:color="auto" w:fill="404040" w:themeFill="text1" w:themeFillTint="BF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tabs>
                      <w:tab w:val="right" w:pos="1861"/>
                    </w:tabs>
                    <w:ind w:left="-8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>Searching for:</w:t>
                  </w:r>
                </w:p>
              </w:tc>
              <w:tc>
                <w:tcPr>
                  <w:tcW w:w="2964" w:type="dxa"/>
                  <w:shd w:val="clear" w:color="auto" w:fill="404040" w:themeFill="text1" w:themeFillTint="BF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ind w:left="-72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>Return Result</w:t>
                  </w:r>
                </w:p>
              </w:tc>
              <w:tc>
                <w:tcPr>
                  <w:tcW w:w="1588" w:type="dxa"/>
                  <w:shd w:val="clear" w:color="auto" w:fill="404040" w:themeFill="text1" w:themeFillTint="BF"/>
                </w:tcPr>
                <w:p w:rsidR="00326C38" w:rsidRPr="00DD5728" w:rsidRDefault="007B0010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 xml:space="preserve">General 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b/>
                      <w:color w:val="FFFFFF" w:themeColor="background1"/>
                    </w:rPr>
                    <w:t>Notes</w:t>
                  </w:r>
                </w:p>
              </w:tc>
            </w:tr>
            <w:tr w:rsidR="00373EBD" w:rsidRPr="00DD5728" w:rsidTr="00BE5754">
              <w:trPr>
                <w:trHeight w:val="244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326C38" w:rsidRPr="00DD5728" w:rsidRDefault="00924035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supplies</w:t>
                  </w: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KFS will only return exact match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326C38" w:rsidRPr="00DD5728" w:rsidRDefault="000754CD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Often= 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 Results</w:t>
                  </w:r>
                </w:p>
              </w:tc>
            </w:tr>
            <w:tr w:rsidR="00373EBD" w:rsidRPr="00DD5728" w:rsidTr="00BE5754">
              <w:trPr>
                <w:trHeight w:val="258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  <w:r w:rsid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supplies</w:t>
                  </w: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results that end with “</w:t>
                  </w:r>
                  <w:r w:rsidR="00924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supplies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Limited Results</w:t>
                  </w:r>
                </w:p>
              </w:tc>
            </w:tr>
            <w:tr w:rsidR="00373EBD" w:rsidRPr="00DD5728" w:rsidTr="00BE5754">
              <w:trPr>
                <w:trHeight w:val="244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326C38" w:rsidRPr="00DD5728" w:rsidRDefault="00924035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supp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326C38" w:rsidRPr="00DD5728" w:rsidRDefault="00373EBD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All results </w:t>
                  </w:r>
                  <w:r w:rsidR="007B0010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beginning with </w:t>
                  </w:r>
                  <w:r w:rsidR="00924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“supp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326C38" w:rsidRPr="00DD5728" w:rsidRDefault="007B0010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Limited Results</w:t>
                  </w:r>
                </w:p>
              </w:tc>
            </w:tr>
            <w:tr w:rsidR="007B0010" w:rsidRPr="00DD5728" w:rsidTr="00BE5754">
              <w:trPr>
                <w:trHeight w:val="244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373EBD" w:rsidRPr="00DD5728" w:rsidRDefault="00373EBD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  <w:r w:rsid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supp</w:t>
                  </w: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373EBD" w:rsidRPr="00DD5728" w:rsidRDefault="007B0010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 results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with “</w:t>
                  </w:r>
                  <w:r w:rsidR="00924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supp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” 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somewhere </w:t>
                  </w:r>
                  <w:r w:rsidR="00373EB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 the name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373EBD" w:rsidRPr="00DD5728" w:rsidRDefault="00924035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Many</w:t>
                  </w:r>
                  <w:r w:rsidR="007B0010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Results</w:t>
                  </w:r>
                </w:p>
              </w:tc>
            </w:tr>
            <w:tr w:rsidR="007B0010" w:rsidRPr="00DD5728" w:rsidTr="00BE5754">
              <w:trPr>
                <w:trHeight w:val="244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373EBD" w:rsidRPr="00DD5728" w:rsidRDefault="00373EBD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  <w:r w:rsid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supp</w:t>
                  </w: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  <w:r w:rsid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material</w:t>
                  </w:r>
                  <w:r w:rsidRPr="00DD5728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373EBD" w:rsidRPr="00DD5728" w:rsidRDefault="007B0010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Anything with “</w:t>
                  </w:r>
                  <w:r w:rsidR="00924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supp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 and “</w:t>
                  </w:r>
                  <w:r w:rsidR="0092403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material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</w:t>
                  </w:r>
                  <w:r w:rsidR="007C77A9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in the name</w:t>
                  </w: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 that order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373EBD" w:rsidRPr="00DD5728" w:rsidRDefault="007B0010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Very refined Result</w:t>
                  </w:r>
                  <w:r w:rsidR="000754C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7B0010" w:rsidRPr="00DD5728" w:rsidTr="00BE5754">
              <w:trPr>
                <w:trHeight w:val="258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7B0010" w:rsidRPr="00DD5728" w:rsidRDefault="007B0010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  <w:r w:rsidR="00924035" w:rsidRP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supp</w:t>
                  </w:r>
                  <w:r w:rsidRP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*&amp;&amp;*</w:t>
                  </w:r>
                  <w:r w:rsidR="00924035" w:rsidRP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mater</w:t>
                  </w:r>
                  <w:r w:rsidRPr="00924035"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  <w:t>*</w:t>
                  </w: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7B0010" w:rsidRPr="00DD5728" w:rsidRDefault="00924035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Anything with “supp</w:t>
                  </w:r>
                  <w:r w:rsidR="007B0010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 and “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mater</w:t>
                  </w:r>
                  <w:r w:rsidR="007B0010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”</w:t>
                  </w:r>
                  <w:r w:rsidR="007C77A9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in the name</w:t>
                  </w:r>
                  <w:r w:rsidR="007B0010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 in any order</w:t>
                  </w: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7B0010" w:rsidRPr="00DD5728" w:rsidRDefault="007B0010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Ideal refined Result</w:t>
                  </w:r>
                  <w:r w:rsidR="000754CD" w:rsidRPr="00DD57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</w:t>
                  </w:r>
                </w:p>
              </w:tc>
            </w:tr>
            <w:tr w:rsidR="001F02C2" w:rsidRPr="00DD5728" w:rsidTr="00BE5754">
              <w:trPr>
                <w:trHeight w:val="258"/>
              </w:trPr>
              <w:tc>
                <w:tcPr>
                  <w:tcW w:w="1923" w:type="dxa"/>
                  <w:shd w:val="clear" w:color="auto" w:fill="F2F2F2" w:themeFill="background1" w:themeFillShade="F2"/>
                </w:tcPr>
                <w:p w:rsidR="001F02C2" w:rsidRPr="00924035" w:rsidRDefault="001F02C2" w:rsidP="004F3FA2">
                  <w:pPr>
                    <w:framePr w:hSpace="187" w:wrap="around" w:vAnchor="text" w:hAnchor="margin" w:xAlign="center" w:y="44"/>
                    <w:ind w:left="-81" w:right="-95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0"/>
                    </w:rPr>
                  </w:pPr>
                </w:p>
              </w:tc>
              <w:tc>
                <w:tcPr>
                  <w:tcW w:w="2964" w:type="dxa"/>
                  <w:shd w:val="clear" w:color="auto" w:fill="F2F2F2" w:themeFill="background1" w:themeFillShade="F2"/>
                </w:tcPr>
                <w:p w:rsidR="001F02C2" w:rsidRDefault="001F02C2" w:rsidP="004F3FA2">
                  <w:pPr>
                    <w:framePr w:hSpace="187" w:wrap="around" w:vAnchor="text" w:hAnchor="margin" w:xAlign="center" w:y="44"/>
                    <w:ind w:left="-72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shd w:val="clear" w:color="auto" w:fill="F2F2F2" w:themeFill="background1" w:themeFillShade="F2"/>
                </w:tcPr>
                <w:p w:rsidR="001F02C2" w:rsidRPr="00DD5728" w:rsidRDefault="001F02C2" w:rsidP="004F3FA2">
                  <w:pPr>
                    <w:framePr w:hSpace="187" w:wrap="around" w:vAnchor="text" w:hAnchor="margin" w:xAlign="center" w:y="44"/>
                    <w:ind w:left="-56"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96714" w:rsidRPr="00DD5728" w:rsidRDefault="00396714" w:rsidP="00122571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48416D" w:rsidRPr="00DD5728" w:rsidTr="0048416D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  <w:textDirection w:val="btLr"/>
          </w:tcPr>
          <w:p w:rsidR="0048416D" w:rsidRDefault="0048416D" w:rsidP="00D41A91">
            <w:pPr>
              <w:ind w:left="113" w:right="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Optional</w:t>
            </w:r>
          </w:p>
        </w:tc>
        <w:tc>
          <w:tcPr>
            <w:tcW w:w="2505" w:type="dxa"/>
          </w:tcPr>
          <w:p w:rsidR="0048416D" w:rsidRDefault="0048416D" w:rsidP="001F0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Limit results by </w:t>
            </w:r>
            <w:r w:rsidR="001F02C2">
              <w:rPr>
                <w:rFonts w:ascii="Times New Roman" w:eastAsia="Calibri" w:hAnsi="Times New Roman" w:cs="Times New Roman"/>
                <w:color w:val="000000"/>
              </w:rPr>
              <w:t>entering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an Object Type Code</w:t>
            </w:r>
          </w:p>
        </w:tc>
        <w:tc>
          <w:tcPr>
            <w:tcW w:w="6927" w:type="dxa"/>
          </w:tcPr>
          <w:p w:rsidR="0048416D" w:rsidRDefault="001F02C2" w:rsidP="0048416D">
            <w:pPr>
              <w:pStyle w:val="ListParagraph"/>
              <w:numPr>
                <w:ilvl w:val="0"/>
                <w:numId w:val="13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You</w:t>
            </w:r>
            <w:r w:rsidR="0048416D">
              <w:rPr>
                <w:rFonts w:ascii="Times New Roman" w:eastAsia="Times New Roman" w:hAnsi="Times New Roman" w:cs="Times New Roman"/>
              </w:rPr>
              <w:t xml:space="preserve"> </w:t>
            </w:r>
            <w:r w:rsidR="008C62EC">
              <w:rPr>
                <w:rFonts w:ascii="Times New Roman" w:eastAsia="Times New Roman" w:hAnsi="Times New Roman" w:cs="Times New Roman"/>
              </w:rPr>
              <w:t>can</w:t>
            </w:r>
            <w:r w:rsidR="0048416D">
              <w:rPr>
                <w:rFonts w:ascii="Times New Roman" w:eastAsia="Times New Roman" w:hAnsi="Times New Roman" w:cs="Times New Roman"/>
              </w:rPr>
              <w:t xml:space="preserve"> limit and/or refine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 w:rsidR="0048416D">
              <w:rPr>
                <w:rFonts w:ascii="Times New Roman" w:eastAsia="Times New Roman" w:hAnsi="Times New Roman" w:cs="Times New Roman"/>
              </w:rPr>
              <w:t xml:space="preserve"> Object Code searches by including the Object Type Code as a search qualifier</w:t>
            </w:r>
          </w:p>
          <w:p w:rsidR="0048416D" w:rsidRDefault="00774967" w:rsidP="008C62EC">
            <w:pPr>
              <w:pStyle w:val="ListParagraph"/>
              <w:numPr>
                <w:ilvl w:val="0"/>
                <w:numId w:val="13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91440" distR="91440" simplePos="0" relativeHeight="251729920" behindDoc="0" locked="0" layoutInCell="1" allowOverlap="1" wp14:anchorId="07E0C632" wp14:editId="55201B38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258252</wp:posOffset>
                  </wp:positionV>
                  <wp:extent cx="1430655" cy="173990"/>
                  <wp:effectExtent l="19050" t="19050" r="17145" b="1651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655" cy="1739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16D">
              <w:rPr>
                <w:rFonts w:ascii="Times New Roman" w:eastAsia="Times New Roman" w:hAnsi="Times New Roman" w:cs="Times New Roman"/>
              </w:rPr>
              <w:t xml:space="preserve"> </w:t>
            </w:r>
            <w:r w:rsidR="001F02C2">
              <w:rPr>
                <w:rFonts w:ascii="Times New Roman" w:eastAsia="Times New Roman" w:hAnsi="Times New Roman" w:cs="Times New Roman"/>
              </w:rPr>
              <w:t xml:space="preserve">Select </w:t>
            </w:r>
            <w:r w:rsidR="0048416D">
              <w:rPr>
                <w:rFonts w:ascii="Times New Roman" w:eastAsia="Times New Roman" w:hAnsi="Times New Roman" w:cs="Times New Roman"/>
              </w:rPr>
              <w:t xml:space="preserve">the </w:t>
            </w:r>
            <w:r w:rsidR="0048416D" w:rsidRPr="00DD57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BC10FE1" wp14:editId="488B1117">
                  <wp:extent cx="159027" cy="150191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61" cy="156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16D">
              <w:rPr>
                <w:rFonts w:ascii="Times New Roman" w:eastAsia="Times New Roman" w:hAnsi="Times New Roman" w:cs="Times New Roman"/>
              </w:rPr>
              <w:t xml:space="preserve"> next to </w:t>
            </w:r>
            <w:r w:rsidR="0048416D" w:rsidRPr="002532AA">
              <w:rPr>
                <w:rFonts w:ascii="Times New Roman" w:eastAsia="Times New Roman" w:hAnsi="Times New Roman" w:cs="Times New Roman"/>
                <w:b/>
              </w:rPr>
              <w:t>Object Type Code</w:t>
            </w:r>
            <w:r w:rsidR="0048416D">
              <w:rPr>
                <w:rFonts w:ascii="Times New Roman" w:eastAsia="Times New Roman" w:hAnsi="Times New Roman" w:cs="Times New Roman"/>
              </w:rPr>
              <w:t xml:space="preserve"> to look up the possible Object Type Codes and their names</w:t>
            </w:r>
          </w:p>
          <w:p w:rsidR="00D41A91" w:rsidRPr="00D41A91" w:rsidRDefault="00D41A91" w:rsidP="008C62EC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48416D" w:rsidRDefault="0048416D" w:rsidP="008C62EC">
            <w:pPr>
              <w:pStyle w:val="ListParagraph"/>
              <w:numPr>
                <w:ilvl w:val="0"/>
                <w:numId w:val="13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Alternat</w:t>
            </w:r>
            <w:r w:rsidR="002532AA">
              <w:rPr>
                <w:rFonts w:ascii="Times New Roman" w:eastAsia="Times New Roman" w:hAnsi="Times New Roman" w:cs="Times New Roman"/>
              </w:rPr>
              <w:t>ive</w:t>
            </w:r>
            <w:r>
              <w:rPr>
                <w:rFonts w:ascii="Times New Roman" w:eastAsia="Times New Roman" w:hAnsi="Times New Roman" w:cs="Times New Roman"/>
              </w:rPr>
              <w:t>ly, enter the 2-digit code for the Object Type</w:t>
            </w:r>
            <w:r w:rsidR="002532AA">
              <w:rPr>
                <w:rFonts w:ascii="Times New Roman" w:eastAsia="Times New Roman" w:hAnsi="Times New Roman" w:cs="Times New Roman"/>
              </w:rPr>
              <w:t>, for example:</w:t>
            </w:r>
          </w:p>
          <w:p w:rsidR="002532AA" w:rsidRDefault="0048416D" w:rsidP="0048416D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EX= Expense Expenditure</w:t>
            </w:r>
          </w:p>
          <w:p w:rsidR="0048416D" w:rsidRDefault="0048416D" w:rsidP="0048416D">
            <w:pPr>
              <w:pStyle w:val="ListParagraph"/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IN= Revenue Cash, etc.</w:t>
            </w:r>
          </w:p>
          <w:p w:rsidR="001F02C2" w:rsidRPr="001F02C2" w:rsidRDefault="001F02C2" w:rsidP="001F02C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8416D" w:rsidRPr="00DD5728" w:rsidTr="008C6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4077C1" w:rsidRPr="00DD5728" w:rsidRDefault="00165FC7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</w:tcPr>
          <w:p w:rsidR="004077C1" w:rsidRPr="00DD5728" w:rsidRDefault="00165FC7" w:rsidP="00AD0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t>Review Search Results</w:t>
            </w:r>
          </w:p>
        </w:tc>
        <w:tc>
          <w:tcPr>
            <w:tcW w:w="6927" w:type="dxa"/>
          </w:tcPr>
          <w:p w:rsidR="004077C1" w:rsidRPr="00DD5728" w:rsidRDefault="00DD5728" w:rsidP="00165FC7">
            <w:pPr>
              <w:pStyle w:val="ListParagraph"/>
              <w:numPr>
                <w:ilvl w:val="0"/>
                <w:numId w:val="11"/>
              </w:numPr>
              <w:ind w:left="233" w:hanging="2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D5728">
              <w:rPr>
                <w:rFonts w:ascii="Times New Roman" w:eastAsia="Times New Roman" w:hAnsi="Times New Roman" w:cs="Times New Roman"/>
              </w:rPr>
              <w:t>earch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results will display </w:t>
            </w:r>
            <w:r w:rsidR="0019013E">
              <w:rPr>
                <w:rFonts w:ascii="Times New Roman" w:eastAsia="Times New Roman" w:hAnsi="Times New Roman" w:cs="Times New Roman"/>
              </w:rPr>
              <w:t>under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165FC7" w:rsidRPr="00DD5728">
              <w:rPr>
                <w:rFonts w:ascii="Times New Roman" w:eastAsia="Times New Roman" w:hAnsi="Times New Roman" w:cs="Times New Roman"/>
                <w:b/>
              </w:rPr>
              <w:t>search</w:t>
            </w:r>
            <w:r>
              <w:rPr>
                <w:rFonts w:ascii="Times New Roman" w:eastAsia="Times New Roman" w:hAnsi="Times New Roman" w:cs="Times New Roman"/>
              </w:rPr>
              <w:t xml:space="preserve"> button</w:t>
            </w:r>
          </w:p>
          <w:p w:rsidR="006E0066" w:rsidRDefault="004077C1" w:rsidP="006E0066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If </w:t>
            </w:r>
            <w:r w:rsidR="006E0066">
              <w:rPr>
                <w:rFonts w:ascii="Times New Roman" w:eastAsia="Times New Roman" w:hAnsi="Times New Roman" w:cs="Times New Roman"/>
              </w:rPr>
              <w:t>you don’t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find the desired search result, the search criteria might need to be edited</w:t>
            </w:r>
            <w:r w:rsidR="006E0066">
              <w:rPr>
                <w:rFonts w:ascii="Times New Roman" w:eastAsia="Times New Roman" w:hAnsi="Times New Roman" w:cs="Times New Roman"/>
              </w:rPr>
              <w:t>, for example:</w:t>
            </w:r>
          </w:p>
          <w:p w:rsidR="006E0066" w:rsidRDefault="006E0066" w:rsidP="006E0066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Correct the</w:t>
            </w:r>
            <w:r w:rsidR="004077C1" w:rsidRPr="00DD5728">
              <w:rPr>
                <w:rFonts w:ascii="Times New Roman" w:eastAsia="Times New Roman" w:hAnsi="Times New Roman" w:cs="Times New Roman"/>
              </w:rPr>
              <w:t xml:space="preserve"> spelling errors</w:t>
            </w:r>
          </w:p>
          <w:p w:rsidR="006E0066" w:rsidRDefault="004077C1" w:rsidP="006E0066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Add </w:t>
            </w:r>
            <w:r w:rsidRPr="00DD5728">
              <w:rPr>
                <w:rFonts w:ascii="Times New Roman" w:eastAsia="Times New Roman" w:hAnsi="Times New Roman" w:cs="Times New Roman"/>
                <w:b/>
              </w:rPr>
              <w:t>*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to search qualifiers</w:t>
            </w:r>
          </w:p>
          <w:p w:rsidR="004077C1" w:rsidRDefault="004077C1" w:rsidP="006E0066">
            <w:pPr>
              <w:pStyle w:val="ListParagraph"/>
              <w:numPr>
                <w:ilvl w:val="2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Use partial search words</w:t>
            </w:r>
          </w:p>
          <w:p w:rsidR="006E0066" w:rsidRPr="006E0066" w:rsidRDefault="006E0066" w:rsidP="006E0066">
            <w:pPr>
              <w:ind w:left="19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  <w:tr w:rsidR="0048416D" w:rsidRPr="00DD5728" w:rsidTr="008C6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11255" w:rsidRPr="00DD5728" w:rsidRDefault="00165FC7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</w:tcPr>
          <w:p w:rsidR="00311255" w:rsidRPr="00DD5728" w:rsidRDefault="00C95DCC" w:rsidP="00A00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 w:rsidRPr="00DD5728">
              <w:rPr>
                <w:rFonts w:ascii="Times New Roman" w:hAnsi="Times New Roman" w:cs="Times New Roman"/>
                <w:noProof/>
              </w:rPr>
              <w:t xml:space="preserve">Select the desired </w:t>
            </w:r>
            <w:r w:rsidR="00A00428">
              <w:rPr>
                <w:rFonts w:ascii="Times New Roman" w:hAnsi="Times New Roman" w:cs="Times New Roman"/>
                <w:noProof/>
              </w:rPr>
              <w:t>Object Code</w:t>
            </w:r>
          </w:p>
        </w:tc>
        <w:tc>
          <w:tcPr>
            <w:tcW w:w="6927" w:type="dxa"/>
          </w:tcPr>
          <w:p w:rsidR="003807F1" w:rsidRPr="00DA4855" w:rsidRDefault="003807F1" w:rsidP="003807F1">
            <w:pPr>
              <w:pStyle w:val="ListParagraph"/>
              <w:numPr>
                <w:ilvl w:val="0"/>
                <w:numId w:val="6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From the list of search results, </w:t>
            </w:r>
            <w:r>
              <w:rPr>
                <w:rFonts w:ascii="Times New Roman" w:eastAsia="Times New Roman" w:hAnsi="Times New Roman" w:cs="Times New Roman"/>
              </w:rPr>
              <w:t xml:space="preserve">identify the </w:t>
            </w:r>
            <w:r w:rsidR="00207177"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</w:rPr>
              <w:t xml:space="preserve"> Object Code and 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select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D5728">
              <w:rPr>
                <w:rFonts w:ascii="Times New Roman" w:eastAsia="Times New Roman" w:hAnsi="Times New Roman" w:cs="Times New Roman"/>
                <w:b/>
              </w:rPr>
              <w:t>return value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A4855">
              <w:rPr>
                <w:rFonts w:ascii="Times New Roman" w:eastAsia="Times New Roman" w:hAnsi="Times New Roman" w:cs="Times New Roman"/>
              </w:rPr>
              <w:t>link</w:t>
            </w:r>
          </w:p>
          <w:p w:rsidR="007560F1" w:rsidRDefault="007560F1" w:rsidP="00A00428">
            <w:pPr>
              <w:pStyle w:val="ListParagraph"/>
              <w:ind w:left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  <w:p w:rsidR="0019734D" w:rsidRDefault="0019734D" w:rsidP="0019734D">
            <w:pPr>
              <w:pStyle w:val="ListParagraph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6E0066" w:rsidRPr="006E0066" w:rsidRDefault="006E0066" w:rsidP="006E0066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6E0066" w:rsidRPr="006E0066" w:rsidRDefault="006E0066" w:rsidP="006E0066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C95DCC" w:rsidRPr="00A00428" w:rsidRDefault="00A00428" w:rsidP="00DF6E4A">
            <w:pPr>
              <w:pStyle w:val="ListParagraph"/>
              <w:numPr>
                <w:ilvl w:val="1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00428">
              <w:rPr>
                <w:rFonts w:ascii="Times New Roman" w:eastAsia="Times New Roman" w:hAnsi="Times New Roman" w:cs="Times New Roman"/>
              </w:rPr>
              <w:t>Selecting</w:t>
            </w:r>
            <w:r>
              <w:rPr>
                <w:rFonts w:ascii="Times New Roman" w:eastAsia="Times New Roman" w:hAnsi="Times New Roman" w:cs="Times New Roman"/>
              </w:rPr>
              <w:t xml:space="preserve"> the Object Cod</w:t>
            </w:r>
            <w:r w:rsidR="00D41A91">
              <w:rPr>
                <w:rFonts w:ascii="Times New Roman" w:eastAsia="Times New Roman" w:hAnsi="Times New Roman" w:cs="Times New Roman"/>
              </w:rPr>
              <w:t>e number on this screen</w:t>
            </w:r>
            <w:r>
              <w:rPr>
                <w:rFonts w:ascii="Times New Roman" w:eastAsia="Times New Roman" w:hAnsi="Times New Roman" w:cs="Times New Roman"/>
              </w:rPr>
              <w:t xml:space="preserve"> open</w:t>
            </w:r>
            <w:r w:rsidR="00D41A9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a new tab/window and display</w:t>
            </w:r>
            <w:r w:rsidR="00D41A91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41A91">
              <w:rPr>
                <w:rFonts w:ascii="Times New Roman" w:eastAsia="Times New Roman" w:hAnsi="Times New Roman" w:cs="Times New Roman"/>
              </w:rPr>
              <w:t>the attributes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E0066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the chosen object code.  </w:t>
            </w:r>
            <w:r w:rsidR="003C3453">
              <w:rPr>
                <w:rFonts w:ascii="Times New Roman" w:eastAsia="Times New Roman" w:hAnsi="Times New Roman" w:cs="Times New Roman"/>
              </w:rPr>
              <w:t>To go back, e</w:t>
            </w:r>
            <w:r>
              <w:rPr>
                <w:rFonts w:ascii="Times New Roman" w:eastAsia="Times New Roman" w:hAnsi="Times New Roman" w:cs="Times New Roman"/>
              </w:rPr>
              <w:t xml:space="preserve">xit the tab/window </w:t>
            </w:r>
            <w:r w:rsidR="00D659D0">
              <w:rPr>
                <w:rFonts w:ascii="Times New Roman" w:eastAsia="Times New Roman" w:hAnsi="Times New Roman" w:cs="Times New Roman"/>
              </w:rPr>
              <w:t xml:space="preserve">(in order to select </w:t>
            </w:r>
            <w:r w:rsidR="006E0066">
              <w:rPr>
                <w:rFonts w:ascii="Times New Roman" w:eastAsia="Times New Roman" w:hAnsi="Times New Roman" w:cs="Times New Roman"/>
              </w:rPr>
              <w:t>‘</w:t>
            </w:r>
            <w:r w:rsidR="00D659D0">
              <w:rPr>
                <w:rFonts w:ascii="Times New Roman" w:eastAsia="Times New Roman" w:hAnsi="Times New Roman" w:cs="Times New Roman"/>
              </w:rPr>
              <w:t>return value</w:t>
            </w:r>
            <w:r w:rsidR="006E0066">
              <w:rPr>
                <w:rFonts w:ascii="Times New Roman" w:eastAsia="Times New Roman" w:hAnsi="Times New Roman" w:cs="Times New Roman"/>
              </w:rPr>
              <w:t>’</w:t>
            </w:r>
            <w:r w:rsidR="003C3453">
              <w:rPr>
                <w:rFonts w:ascii="Times New Roman" w:eastAsia="Times New Roman" w:hAnsi="Times New Roman" w:cs="Times New Roman"/>
              </w:rPr>
              <w:t xml:space="preserve"> on the previous screen</w:t>
            </w:r>
            <w:r w:rsidR="00D659D0">
              <w:rPr>
                <w:rFonts w:ascii="Times New Roman" w:eastAsia="Times New Roman" w:hAnsi="Times New Roman" w:cs="Times New Roman"/>
              </w:rPr>
              <w:t>)</w:t>
            </w:r>
            <w:r w:rsidR="003C3453">
              <w:rPr>
                <w:rFonts w:ascii="Times New Roman" w:eastAsia="Times New Roman" w:hAnsi="Times New Roman" w:cs="Times New Roman"/>
              </w:rPr>
              <w:t>.</w:t>
            </w:r>
          </w:p>
          <w:p w:rsidR="00C95DCC" w:rsidRPr="00DD5728" w:rsidRDefault="00C95DCC" w:rsidP="006E0066">
            <w:pPr>
              <w:pStyle w:val="ListParagraph"/>
              <w:numPr>
                <w:ilvl w:val="0"/>
                <w:numId w:val="6"/>
              </w:numPr>
              <w:ind w:left="233" w:hanging="2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>Select</w:t>
            </w:r>
            <w:r w:rsidR="006E0066">
              <w:rPr>
                <w:rFonts w:ascii="Times New Roman" w:eastAsia="Times New Roman" w:hAnsi="Times New Roman" w:cs="Times New Roman"/>
              </w:rPr>
              <w:t xml:space="preserve"> 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Pr="006964F2">
              <w:rPr>
                <w:rFonts w:ascii="Times New Roman" w:eastAsia="Times New Roman" w:hAnsi="Times New Roman" w:cs="Times New Roman"/>
                <w:b/>
              </w:rPr>
              <w:t>return value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</w:t>
            </w:r>
            <w:r w:rsidR="006E0066">
              <w:rPr>
                <w:rFonts w:ascii="Times New Roman" w:eastAsia="Times New Roman" w:hAnsi="Times New Roman" w:cs="Times New Roman"/>
              </w:rPr>
              <w:t xml:space="preserve">to go back 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to </w:t>
            </w:r>
            <w:r w:rsidR="006E0066">
              <w:rPr>
                <w:rFonts w:ascii="Times New Roman" w:eastAsia="Times New Roman" w:hAnsi="Times New Roman" w:cs="Times New Roman"/>
              </w:rPr>
              <w:t>your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 eDoc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and </w:t>
            </w:r>
            <w:r w:rsidR="006E0066">
              <w:rPr>
                <w:rFonts w:ascii="Times New Roman" w:eastAsia="Times New Roman" w:hAnsi="Times New Roman" w:cs="Times New Roman"/>
              </w:rPr>
              <w:t>fill in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A00428" w:rsidRPr="006E0066">
              <w:rPr>
                <w:rFonts w:ascii="Times New Roman" w:eastAsia="Times New Roman" w:hAnsi="Times New Roman" w:cs="Times New Roman"/>
                <w:b/>
              </w:rPr>
              <w:t>Object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 field with the selected </w:t>
            </w:r>
            <w:r w:rsidR="00A00428">
              <w:rPr>
                <w:rFonts w:ascii="Times New Roman" w:eastAsia="Times New Roman" w:hAnsi="Times New Roman" w:cs="Times New Roman"/>
              </w:rPr>
              <w:t>Object Code</w:t>
            </w:r>
          </w:p>
        </w:tc>
      </w:tr>
      <w:tr w:rsidR="0048416D" w:rsidRPr="00DD5728" w:rsidTr="00373E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  <w:shd w:val="clear" w:color="auto" w:fill="595959" w:themeFill="text1" w:themeFillTint="A6"/>
          </w:tcPr>
          <w:p w:rsidR="00386DAF" w:rsidRPr="00DD5728" w:rsidRDefault="00386DAF" w:rsidP="00DF6E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57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05" w:type="dxa"/>
          </w:tcPr>
          <w:p w:rsidR="00386DAF" w:rsidRPr="00DD5728" w:rsidRDefault="00D659D0" w:rsidP="00696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20699A6C" wp14:editId="0E55E892">
                  <wp:simplePos x="0" y="0"/>
                  <wp:positionH relativeFrom="column">
                    <wp:posOffset>48481</wp:posOffset>
                  </wp:positionH>
                  <wp:positionV relativeFrom="paragraph">
                    <wp:posOffset>831350</wp:posOffset>
                  </wp:positionV>
                  <wp:extent cx="5868062" cy="743539"/>
                  <wp:effectExtent l="19050" t="19050" r="18415" b="190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4140" cy="7430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DAF" w:rsidRPr="00DD5728">
              <w:rPr>
                <w:rFonts w:ascii="Times New Roman" w:hAnsi="Times New Roman" w:cs="Times New Roman"/>
                <w:noProof/>
              </w:rPr>
              <w:t>Confirm</w:t>
            </w:r>
            <w:r w:rsidR="006964F2">
              <w:rPr>
                <w:rFonts w:ascii="Times New Roman" w:hAnsi="Times New Roman" w:cs="Times New Roman"/>
                <w:noProof/>
              </w:rPr>
              <w:t xml:space="preserve"> and a</w:t>
            </w:r>
            <w:r w:rsidR="00386DAF" w:rsidRPr="00DD5728">
              <w:rPr>
                <w:rFonts w:ascii="Times New Roman" w:hAnsi="Times New Roman" w:cs="Times New Roman"/>
                <w:noProof/>
              </w:rPr>
              <w:t xml:space="preserve">dd the </w:t>
            </w:r>
            <w:r>
              <w:rPr>
                <w:rFonts w:ascii="Times New Roman" w:hAnsi="Times New Roman" w:cs="Times New Roman"/>
                <w:noProof/>
              </w:rPr>
              <w:t>Object Code n</w:t>
            </w:r>
            <w:r w:rsidR="00386DAF" w:rsidRPr="00DD5728">
              <w:rPr>
                <w:rFonts w:ascii="Times New Roman" w:hAnsi="Times New Roman" w:cs="Times New Roman"/>
                <w:noProof/>
              </w:rPr>
              <w:t>umber on the eDoc</w:t>
            </w:r>
          </w:p>
        </w:tc>
        <w:tc>
          <w:tcPr>
            <w:tcW w:w="6927" w:type="dxa"/>
          </w:tcPr>
          <w:p w:rsidR="00DD5728" w:rsidRPr="00DD5728" w:rsidRDefault="00386DAF" w:rsidP="00386DAF">
            <w:pPr>
              <w:pStyle w:val="ListParagraph"/>
              <w:numPr>
                <w:ilvl w:val="0"/>
                <w:numId w:val="12"/>
              </w:numPr>
              <w:ind w:left="23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D5728">
              <w:rPr>
                <w:rFonts w:ascii="Times New Roman" w:eastAsia="Times New Roman" w:hAnsi="Times New Roman" w:cs="Times New Roman"/>
              </w:rPr>
              <w:t xml:space="preserve">The KFS eDoc should show a confirmation of the </w:t>
            </w:r>
            <w:r w:rsidR="00D659D0">
              <w:rPr>
                <w:rFonts w:ascii="Times New Roman" w:eastAsia="Times New Roman" w:hAnsi="Times New Roman" w:cs="Times New Roman"/>
              </w:rPr>
              <w:t>Object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(with bri</w:t>
            </w:r>
            <w:r w:rsidR="003C3453">
              <w:rPr>
                <w:rFonts w:ascii="Times New Roman" w:eastAsia="Times New Roman" w:hAnsi="Times New Roman" w:cs="Times New Roman"/>
              </w:rPr>
              <w:t>ef information) once ‘returned’</w:t>
            </w:r>
            <w:r w:rsidRPr="00DD5728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86DAF" w:rsidRPr="00DD5728" w:rsidRDefault="00FB28CF" w:rsidP="00386DAF">
            <w:pPr>
              <w:pStyle w:val="ListParagraph"/>
              <w:numPr>
                <w:ilvl w:val="0"/>
                <w:numId w:val="12"/>
              </w:numPr>
              <w:ind w:left="233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Fill in</w:t>
            </w:r>
            <w:r w:rsidR="00136A2F">
              <w:rPr>
                <w:rFonts w:ascii="Times New Roman" w:eastAsia="Times New Roman" w:hAnsi="Times New Roman" w:cs="Times New Roman"/>
              </w:rPr>
              <w:t xml:space="preserve"> all other items in the Accounting Lines section (required items identified by a *)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, before selecting the </w:t>
            </w:r>
            <w:r w:rsidR="00386DAF" w:rsidRPr="00DD5728">
              <w:rPr>
                <w:rFonts w:ascii="Times New Roman" w:eastAsia="Times New Roman" w:hAnsi="Times New Roman" w:cs="Times New Roman"/>
                <w:b/>
              </w:rPr>
              <w:t xml:space="preserve">add 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button to add the </w:t>
            </w:r>
            <w:r w:rsidR="00D659D0">
              <w:rPr>
                <w:rFonts w:ascii="Times New Roman" w:eastAsia="Times New Roman" w:hAnsi="Times New Roman" w:cs="Times New Roman"/>
              </w:rPr>
              <w:t xml:space="preserve">entire </w:t>
            </w:r>
            <w:r w:rsidR="00386DAF" w:rsidRPr="00DD5728">
              <w:rPr>
                <w:rFonts w:ascii="Times New Roman" w:eastAsia="Times New Roman" w:hAnsi="Times New Roman" w:cs="Times New Roman"/>
              </w:rPr>
              <w:t xml:space="preserve">Accounting Line string to </w:t>
            </w:r>
            <w:r>
              <w:rPr>
                <w:rFonts w:ascii="Times New Roman" w:eastAsia="Times New Roman" w:hAnsi="Times New Roman" w:cs="Times New Roman"/>
              </w:rPr>
              <w:t>your</w:t>
            </w:r>
            <w:bookmarkStart w:id="0" w:name="_GoBack"/>
            <w:bookmarkEnd w:id="0"/>
            <w:r w:rsidR="00386DAF" w:rsidRPr="00DD5728">
              <w:rPr>
                <w:rFonts w:ascii="Times New Roman" w:eastAsia="Times New Roman" w:hAnsi="Times New Roman" w:cs="Times New Roman"/>
              </w:rPr>
              <w:t xml:space="preserve"> eDoc</w:t>
            </w:r>
            <w:r w:rsidR="00386DAF" w:rsidRPr="00DD5728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DD5728" w:rsidRPr="00DD5728" w:rsidRDefault="00DD5728" w:rsidP="00D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DD5728" w:rsidRPr="00DD5728" w:rsidRDefault="00DD5728" w:rsidP="00DD5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5BF8" w:rsidRPr="00995BF8" w:rsidRDefault="006E0066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C732047" wp14:editId="07A9F7A6">
            <wp:simplePos x="0" y="0"/>
            <wp:positionH relativeFrom="column">
              <wp:posOffset>1962150</wp:posOffset>
            </wp:positionH>
            <wp:positionV relativeFrom="paragraph">
              <wp:posOffset>-504190</wp:posOffset>
            </wp:positionV>
            <wp:extent cx="4317365" cy="994410"/>
            <wp:effectExtent l="19050" t="19050" r="26035" b="152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65" cy="9944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F8" w:rsidRDefault="00995BF8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D25605" w:rsidRPr="00995BF8" w:rsidRDefault="00D25605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B08F3" w:rsidRDefault="000B08F3">
      <w:pP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br w:type="page"/>
      </w:r>
    </w:p>
    <w:p w:rsidR="000B08F3" w:rsidRDefault="000B08F3" w:rsidP="00E9643E">
      <w:pPr>
        <w:pBdr>
          <w:bottom w:val="single" w:sz="12" w:space="1" w:color="auto"/>
        </w:pBd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</w:p>
    <w:p w:rsidR="007358ED" w:rsidRPr="00DD5728" w:rsidRDefault="007358ED" w:rsidP="00E9643E">
      <w:pPr>
        <w:pBdr>
          <w:bottom w:val="single" w:sz="12" w:space="1" w:color="auto"/>
        </w:pBd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Object Code Lookup</w:t>
      </w:r>
      <w:r w:rsidR="00995BF8"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>: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  <w:lang w:eastAsia="ja-JP"/>
        </w:rPr>
        <w:t xml:space="preserve"> Search Fields</w:t>
      </w:r>
    </w:p>
    <w:p w:rsidR="00D41A91" w:rsidRDefault="00D41A91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tbl>
      <w:tblPr>
        <w:tblStyle w:val="TableGrid"/>
        <w:tblW w:w="10296" w:type="dxa"/>
        <w:shd w:val="clear" w:color="auto" w:fill="D9D9D9" w:themeFill="background1" w:themeFillShade="D9"/>
        <w:tblLook w:val="04A0" w:firstRow="1" w:lastRow="0" w:firstColumn="1" w:lastColumn="0" w:noHBand="0" w:noVBand="1"/>
        <w:tblDescription w:val="Attributes of the Edit Object Code tab, their descriptions, and examples of each."/>
      </w:tblPr>
      <w:tblGrid>
        <w:gridCol w:w="1818"/>
        <w:gridCol w:w="6750"/>
        <w:gridCol w:w="1728"/>
      </w:tblGrid>
      <w:tr w:rsidR="00D41A91" w:rsidRPr="00D41A91" w:rsidTr="00995BF8">
        <w:trPr>
          <w:cantSplit/>
          <w:trHeight w:val="315"/>
        </w:trPr>
        <w:tc>
          <w:tcPr>
            <w:tcW w:w="1818" w:type="dxa"/>
            <w:shd w:val="clear" w:color="auto" w:fill="404040" w:themeFill="text1" w:themeFillTint="BF"/>
            <w:hideMark/>
          </w:tcPr>
          <w:p w:rsidR="00D41A91" w:rsidRPr="00D41A91" w:rsidRDefault="00D41A91" w:rsidP="00D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D41A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Field</w:t>
            </w:r>
          </w:p>
        </w:tc>
        <w:tc>
          <w:tcPr>
            <w:tcW w:w="6750" w:type="dxa"/>
            <w:shd w:val="clear" w:color="auto" w:fill="404040" w:themeFill="text1" w:themeFillTint="BF"/>
            <w:hideMark/>
          </w:tcPr>
          <w:p w:rsidR="00D41A91" w:rsidRPr="00D41A91" w:rsidRDefault="00D41A91" w:rsidP="00D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D41A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1728" w:type="dxa"/>
            <w:shd w:val="clear" w:color="auto" w:fill="404040" w:themeFill="text1" w:themeFillTint="BF"/>
            <w:hideMark/>
          </w:tcPr>
          <w:p w:rsidR="00D41A91" w:rsidRPr="00D41A91" w:rsidRDefault="00D41A91" w:rsidP="00D41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  <w:r w:rsidRPr="00D41A9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Example</w:t>
            </w:r>
          </w:p>
        </w:tc>
      </w:tr>
      <w:tr w:rsidR="00F406B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Fiscal Year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5801F0" w:rsidP="005801F0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the valid f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iscal year of the object code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The Object Code table is based on fiscal year, so each year can have a different set of object codes.  At UC Irvine, it is unlikely that the object codes will change significantly from year to year.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Chart Code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AA2048" w:rsidP="007358ED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This code is for the 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Chart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(campus) 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to which the object code belongs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IR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Object Code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AA2048" w:rsidP="00AA2048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a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unique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(centrally assigned)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code within the chart and fiscal year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that describe</w:t>
            </w:r>
            <w:r w:rsidR="0058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s the nature of the transaction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8140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Object Code Name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AA2048" w:rsidP="00AA2048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a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long descriptive name for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the object code that appears in 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the Accounting Lines tab in financial documents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as well as in searches and reports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Supplies Cleaning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Object Code Short Name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AA2048" w:rsidP="00AA2048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a shortened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version of the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bject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ode name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for use in reporting where space is limited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Supplies Cle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Reports to Chart Code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D41A91" w:rsidP="005801F0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Th</w:t>
            </w:r>
            <w:r w:rsidR="0058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is is the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Chart Code</w:t>
            </w:r>
            <w:r w:rsidR="0058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, in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which the object code reports up to.  For example, the object code for Cleaning Supplies in the IR-UC Irvine chart might report to the object code Supplies and Materials in the UC-</w:t>
            </w:r>
            <w:r w:rsidR="00AC325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University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</w:t>
            </w:r>
            <w:r w:rsidR="00EC1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CA chart (reported up to UCOP).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UC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Reports to Object Code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D41A91" w:rsidP="00AA2048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Th</w:t>
            </w:r>
            <w:r w:rsidR="00AA2048">
              <w:rPr>
                <w:rFonts w:ascii="Times New Roman" w:eastAsia="Times New Roman" w:hAnsi="Times New Roman" w:cs="Times New Roman"/>
                <w:color w:val="000000"/>
                <w:sz w:val="20"/>
              </w:rPr>
              <w:t>is is another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Object Code</w:t>
            </w:r>
            <w:r w:rsidR="005801F0">
              <w:rPr>
                <w:rFonts w:ascii="Times New Roman" w:eastAsia="Times New Roman" w:hAnsi="Times New Roman" w:cs="Times New Roman"/>
                <w:color w:val="000000"/>
                <w:sz w:val="20"/>
              </w:rPr>
              <w:t>, in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which a particular object code may report</w:t>
            </w:r>
            <w:r w:rsidR="005801F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up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to.  For example, the object code for Cleaning Supplies in the IR-UC Irvine chart might report to the object code Supplies and Materials in the UC-</w:t>
            </w:r>
            <w:r w:rsidR="00AC325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University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 C</w:t>
            </w:r>
            <w:r w:rsidR="00AA2048">
              <w:rPr>
                <w:rFonts w:ascii="Times New Roman" w:eastAsia="Times New Roman" w:hAnsi="Times New Roman" w:cs="Times New Roman"/>
                <w:color w:val="000000"/>
                <w:sz w:val="20"/>
              </w:rPr>
              <w:t>alifornia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chart (reported up to UCOP).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</w:tr>
      <w:tr w:rsidR="00F406B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Object Type Code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AA2048" w:rsidP="00AA2048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a c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ode used to identify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/classify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 object code as income, expense, asset, liabi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lity, Income, fund balance, etc. 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Multiple values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may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exist for income and expense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object type codes,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to support general ledger functionality.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 xml:space="preserve">EX </w:t>
            </w:r>
            <w:r w:rsidRPr="00D41A9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(Expense Expenditure)</w:t>
            </w:r>
          </w:p>
        </w:tc>
      </w:tr>
      <w:tr w:rsidR="00F406B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Level Code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AA2048" w:rsidP="007358ED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a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summary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code</w:t>
            </w:r>
            <w:r w:rsidR="007358E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for a given set of object </w:t>
            </w:r>
            <w:r w:rsidR="00AC325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codes</w:t>
            </w:r>
            <w:r w:rsidR="00AC3251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AC325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which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identifies the level to which the object code belongs.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code is useful for reporting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since each object code has an associated level code it rolls up to. 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Using only a Level Code as search criteria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will show all object codes within 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>that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level.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SUPP</w:t>
            </w:r>
            <w:r w:rsidRPr="00D41A91">
              <w:rPr>
                <w:rFonts w:ascii="Times New Roman" w:eastAsia="Times New Roman" w:hAnsi="Times New Roman" w:cs="Times New Roman"/>
                <w:color w:val="000000"/>
              </w:rPr>
              <w:br/>
              <w:t>(Supplies)</w:t>
            </w:r>
          </w:p>
        </w:tc>
      </w:tr>
      <w:tr w:rsidR="00F406B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Object Sub-Type Code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AC3251" w:rsidP="00AC3251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a c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ode assigned to similar groups of object codes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Sub-types are often leveraged in KFS to apply business rules or to help with reporting. For example,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UCI uses o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bject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ub-types 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classify/</w:t>
            </w:r>
            <w:r w:rsidR="00F406BD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identify capital asset object codes.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 xml:space="preserve">EX </w:t>
            </w:r>
            <w:r w:rsidRPr="00D41A91">
              <w:rPr>
                <w:rFonts w:ascii="Times New Roman" w:eastAsia="Times New Roman" w:hAnsi="Times New Roman" w:cs="Times New Roman"/>
                <w:color w:val="000000"/>
              </w:rPr>
              <w:br/>
              <w:t>(Misc Expense)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Budget Aggregation Code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AC3251" w:rsidP="00AC3251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c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ode indicates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how an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object code can be used for budgeting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(and reporting in a hierarchy)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Currently, UCI</w:t>
            </w:r>
            <w:r w:rsidR="006061A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supports budgeting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using o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bject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code consolidations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D41A91">
              <w:rPr>
                <w:rFonts w:ascii="Times New Roman" w:eastAsia="Times New Roman" w:hAnsi="Times New Roman" w:cs="Times New Roman"/>
                <w:color w:val="000000"/>
              </w:rPr>
              <w:br/>
              <w:t>(Consolidation)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UC Location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D41A91" w:rsidP="007358ED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This is the UC Location Code used across all </w:t>
            </w:r>
            <w:r w:rsidR="00AC325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University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 California Campus (UC Irvine=9) to identify</w:t>
            </w:r>
            <w:r w:rsidR="00AC3251">
              <w:rPr>
                <w:rFonts w:ascii="Times New Roman" w:eastAsia="Times New Roman" w:hAnsi="Times New Roman" w:cs="Times New Roman"/>
                <w:color w:val="000000"/>
                <w:sz w:val="20"/>
              </w:rPr>
              <w:t>/differentiate</w:t>
            </w:r>
            <w:r w:rsidR="00EC181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 UC entity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UC Account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AC3251" w:rsidP="00AC3251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qualifier allows users to search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for the 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(pre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viously used) UC Account </w:t>
            </w:r>
            <w:r w:rsidR="00207177">
              <w:rPr>
                <w:rFonts w:ascii="Times New Roman" w:eastAsia="Times New Roman" w:hAnsi="Times New Roman" w:cs="Times New Roman"/>
                <w:color w:val="000000"/>
                <w:sz w:val="20"/>
              </w:rPr>
              <w:t>Number, which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has been converted to an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object code.  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This applies only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to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Object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Codes for Revenue Accounts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, Liability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Accounts, Balance Sheet Accounts, and Income Accounts (Since these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ave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similar 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control account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but are 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differentiated</w:t>
            </w:r>
            <w:r w:rsidR="00D41A91"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by Object Codes in KFS).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OFT Indicator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D41A91" w:rsidP="007358ED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This marker indicates 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>whether the UCOP attribute of the object code type is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 Object Code, a Transaction Code, or a</w:t>
            </w:r>
            <w:r w:rsidR="006061A0">
              <w:rPr>
                <w:rFonts w:ascii="Times New Roman" w:eastAsia="Times New Roman" w:hAnsi="Times New Roman" w:cs="Times New Roman"/>
                <w:color w:val="000000"/>
                <w:sz w:val="20"/>
              </w:rPr>
              <w:t>n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Offse</w:t>
            </w:r>
            <w:r w:rsidR="00F406BD">
              <w:rPr>
                <w:rFonts w:ascii="Times New Roman" w:eastAsia="Times New Roman" w:hAnsi="Times New Roman" w:cs="Times New Roman"/>
                <w:color w:val="000000"/>
                <w:sz w:val="20"/>
              </w:rPr>
              <w:t>t type code.  Object Code is the default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, with the other indicators mainly being used only by central offices.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O</w:t>
            </w: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Account Group Code</w:t>
            </w:r>
          </w:p>
        </w:tc>
        <w:tc>
          <w:tcPr>
            <w:tcW w:w="6750" w:type="dxa"/>
            <w:shd w:val="clear" w:color="auto" w:fill="FFFFFF" w:themeFill="background1"/>
            <w:hideMark/>
          </w:tcPr>
          <w:p w:rsidR="00D41A91" w:rsidRPr="00D41A91" w:rsidRDefault="00D41A91" w:rsidP="007358ED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This is t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>o identify an Account Group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, as part of the UC Office of the President (UCOP) attributes</w:t>
            </w:r>
            <w:r w:rsidR="007358E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and reporting</w:t>
            </w:r>
          </w:p>
        </w:tc>
        <w:tc>
          <w:tcPr>
            <w:tcW w:w="1728" w:type="dxa"/>
            <w:shd w:val="clear" w:color="auto" w:fill="FFFFFF" w:themeFill="background1"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58ED" w:rsidRPr="00D41A91" w:rsidTr="00995BF8">
        <w:trPr>
          <w:cantSplit/>
        </w:trPr>
        <w:tc>
          <w:tcPr>
            <w:tcW w:w="1818" w:type="dxa"/>
            <w:shd w:val="clear" w:color="auto" w:fill="D9D9D9" w:themeFill="background1" w:themeFillShade="D9"/>
            <w:vAlign w:val="center"/>
            <w:hideMark/>
          </w:tcPr>
          <w:p w:rsidR="00D41A91" w:rsidRPr="00D41A91" w:rsidRDefault="00D41A91" w:rsidP="000969C2">
            <w:pPr>
              <w:ind w:left="-90"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Active Code</w:t>
            </w:r>
          </w:p>
        </w:tc>
        <w:tc>
          <w:tcPr>
            <w:tcW w:w="6750" w:type="dxa"/>
            <w:shd w:val="clear" w:color="auto" w:fill="D9D9D9" w:themeFill="background1" w:themeFillShade="D9"/>
            <w:hideMark/>
          </w:tcPr>
          <w:p w:rsidR="00D41A91" w:rsidRPr="00D41A91" w:rsidRDefault="00D41A91" w:rsidP="00AC3251">
            <w:pPr>
              <w:ind w:right="-1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Select this option if the object code is active and can be used on f</w:t>
            </w:r>
            <w:r w:rsidR="00AC325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inancial documents (vs. No for </w:t>
            </w:r>
            <w:r w:rsidRPr="00D41A91">
              <w:rPr>
                <w:rFonts w:ascii="Times New Roman" w:eastAsia="Times New Roman" w:hAnsi="Times New Roman" w:cs="Times New Roman"/>
                <w:color w:val="000000"/>
                <w:sz w:val="20"/>
              </w:rPr>
              <w:t>code</w:t>
            </w:r>
            <w:r w:rsidR="00AC325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that is no longer valid</w:t>
            </w:r>
            <w:r w:rsidR="00EC1817"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728" w:type="dxa"/>
            <w:shd w:val="clear" w:color="auto" w:fill="D9D9D9" w:themeFill="background1" w:themeFillShade="D9"/>
            <w:noWrap/>
            <w:vAlign w:val="center"/>
            <w:hideMark/>
          </w:tcPr>
          <w:p w:rsidR="00D41A91" w:rsidRPr="00D41A91" w:rsidRDefault="00D41A91" w:rsidP="00D256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A91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</w:tr>
    </w:tbl>
    <w:p w:rsidR="00D41A91" w:rsidRPr="00D85164" w:rsidRDefault="00D41A91" w:rsidP="00E51B15">
      <w:pPr>
        <w:tabs>
          <w:tab w:val="left" w:pos="7851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</w:rPr>
      </w:pPr>
    </w:p>
    <w:sectPr w:rsidR="00D41A91" w:rsidRPr="00D85164" w:rsidSect="004C017E">
      <w:headerReference w:type="default" r:id="rId20"/>
      <w:footerReference w:type="default" r:id="rId21"/>
      <w:footerReference w:type="first" r:id="rId2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36" w:rsidRDefault="00DB2736" w:rsidP="002D4E8C">
      <w:pPr>
        <w:spacing w:after="0" w:line="240" w:lineRule="auto"/>
      </w:pPr>
      <w:r>
        <w:separator/>
      </w:r>
    </w:p>
  </w:endnote>
  <w:endnote w:type="continuationSeparator" w:id="0">
    <w:p w:rsidR="00DB2736" w:rsidRDefault="00DB2736" w:rsidP="002D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6660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45397" w:rsidRDefault="00F4539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7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45397" w:rsidRDefault="00F45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0324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21EF" w:rsidRDefault="003321E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7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321EF" w:rsidRDefault="00332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36" w:rsidRDefault="00DB2736" w:rsidP="002D4E8C">
      <w:pPr>
        <w:spacing w:after="0" w:line="240" w:lineRule="auto"/>
      </w:pPr>
      <w:r>
        <w:separator/>
      </w:r>
    </w:p>
  </w:footnote>
  <w:footnote w:type="continuationSeparator" w:id="0">
    <w:p w:rsidR="00DB2736" w:rsidRDefault="00DB2736" w:rsidP="002D4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17E" w:rsidRDefault="004C017E" w:rsidP="004C017E">
    <w:pPr>
      <w:pStyle w:val="Header"/>
      <w:tabs>
        <w:tab w:val="clear" w:pos="936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F4E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565C2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8E4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218AF"/>
    <w:multiLevelType w:val="hybridMultilevel"/>
    <w:tmpl w:val="482C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4EBA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914AB"/>
    <w:multiLevelType w:val="hybridMultilevel"/>
    <w:tmpl w:val="F520915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331D3F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2217"/>
    <w:multiLevelType w:val="hybridMultilevel"/>
    <w:tmpl w:val="AF34EE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359A2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C7B7D"/>
    <w:multiLevelType w:val="hybridMultilevel"/>
    <w:tmpl w:val="983CB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457B4"/>
    <w:multiLevelType w:val="hybridMultilevel"/>
    <w:tmpl w:val="C6228BEE"/>
    <w:lvl w:ilvl="0" w:tplc="D9285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677BF"/>
    <w:multiLevelType w:val="hybridMultilevel"/>
    <w:tmpl w:val="479C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03968"/>
    <w:multiLevelType w:val="hybridMultilevel"/>
    <w:tmpl w:val="5132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404C"/>
    <w:multiLevelType w:val="hybridMultilevel"/>
    <w:tmpl w:val="274AB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FE"/>
    <w:rsid w:val="00000B8B"/>
    <w:rsid w:val="000038A5"/>
    <w:rsid w:val="00013D94"/>
    <w:rsid w:val="00031C06"/>
    <w:rsid w:val="00033980"/>
    <w:rsid w:val="000343BE"/>
    <w:rsid w:val="00037573"/>
    <w:rsid w:val="00042EEF"/>
    <w:rsid w:val="000461C7"/>
    <w:rsid w:val="00047725"/>
    <w:rsid w:val="00047960"/>
    <w:rsid w:val="00052500"/>
    <w:rsid w:val="00052CE9"/>
    <w:rsid w:val="000725A9"/>
    <w:rsid w:val="000754CD"/>
    <w:rsid w:val="000969C2"/>
    <w:rsid w:val="000A2BA0"/>
    <w:rsid w:val="000A6691"/>
    <w:rsid w:val="000A68E8"/>
    <w:rsid w:val="000B08F3"/>
    <w:rsid w:val="000B29D9"/>
    <w:rsid w:val="000B4107"/>
    <w:rsid w:val="000D1FE5"/>
    <w:rsid w:val="000E0062"/>
    <w:rsid w:val="000E425C"/>
    <w:rsid w:val="000F0991"/>
    <w:rsid w:val="000F7E6F"/>
    <w:rsid w:val="00104B4B"/>
    <w:rsid w:val="00106791"/>
    <w:rsid w:val="00116401"/>
    <w:rsid w:val="001178D5"/>
    <w:rsid w:val="00122571"/>
    <w:rsid w:val="0012274F"/>
    <w:rsid w:val="00136A2F"/>
    <w:rsid w:val="001375A4"/>
    <w:rsid w:val="001417A2"/>
    <w:rsid w:val="001473D5"/>
    <w:rsid w:val="0014756B"/>
    <w:rsid w:val="001530DC"/>
    <w:rsid w:val="0015478F"/>
    <w:rsid w:val="001550DD"/>
    <w:rsid w:val="00155296"/>
    <w:rsid w:val="00157ABD"/>
    <w:rsid w:val="001609E0"/>
    <w:rsid w:val="00165FC7"/>
    <w:rsid w:val="00167BA0"/>
    <w:rsid w:val="00171EF2"/>
    <w:rsid w:val="001721FD"/>
    <w:rsid w:val="00173127"/>
    <w:rsid w:val="001748DC"/>
    <w:rsid w:val="00177DF0"/>
    <w:rsid w:val="001820F4"/>
    <w:rsid w:val="0019013E"/>
    <w:rsid w:val="00194498"/>
    <w:rsid w:val="0019734D"/>
    <w:rsid w:val="001A5306"/>
    <w:rsid w:val="001C40A1"/>
    <w:rsid w:val="001C49E6"/>
    <w:rsid w:val="001C5C0C"/>
    <w:rsid w:val="001E1D8A"/>
    <w:rsid w:val="001E625B"/>
    <w:rsid w:val="001F02C2"/>
    <w:rsid w:val="001F54FF"/>
    <w:rsid w:val="001F5C13"/>
    <w:rsid w:val="001F703B"/>
    <w:rsid w:val="001F73BC"/>
    <w:rsid w:val="0020438C"/>
    <w:rsid w:val="00207177"/>
    <w:rsid w:val="00214AC6"/>
    <w:rsid w:val="0022056B"/>
    <w:rsid w:val="0022102A"/>
    <w:rsid w:val="00231930"/>
    <w:rsid w:val="00251017"/>
    <w:rsid w:val="00252D4F"/>
    <w:rsid w:val="002532AA"/>
    <w:rsid w:val="00263726"/>
    <w:rsid w:val="00267215"/>
    <w:rsid w:val="002766B0"/>
    <w:rsid w:val="00282D8E"/>
    <w:rsid w:val="00294E15"/>
    <w:rsid w:val="00295C9B"/>
    <w:rsid w:val="00297143"/>
    <w:rsid w:val="002A2FCF"/>
    <w:rsid w:val="002B579B"/>
    <w:rsid w:val="002C198E"/>
    <w:rsid w:val="002C3672"/>
    <w:rsid w:val="002C3A37"/>
    <w:rsid w:val="002D3CE3"/>
    <w:rsid w:val="002D4E8C"/>
    <w:rsid w:val="002D5BED"/>
    <w:rsid w:val="002D7672"/>
    <w:rsid w:val="002E057C"/>
    <w:rsid w:val="002E3B35"/>
    <w:rsid w:val="002F326E"/>
    <w:rsid w:val="00305B84"/>
    <w:rsid w:val="00311255"/>
    <w:rsid w:val="00311D59"/>
    <w:rsid w:val="00312E0E"/>
    <w:rsid w:val="003201EA"/>
    <w:rsid w:val="00320AC8"/>
    <w:rsid w:val="00326C38"/>
    <w:rsid w:val="003321EF"/>
    <w:rsid w:val="00332A82"/>
    <w:rsid w:val="003339D7"/>
    <w:rsid w:val="0033706C"/>
    <w:rsid w:val="00343506"/>
    <w:rsid w:val="0035107D"/>
    <w:rsid w:val="003625E9"/>
    <w:rsid w:val="00362E75"/>
    <w:rsid w:val="003717DB"/>
    <w:rsid w:val="00373EBD"/>
    <w:rsid w:val="0038048A"/>
    <w:rsid w:val="003807F1"/>
    <w:rsid w:val="00380BC2"/>
    <w:rsid w:val="00386DAF"/>
    <w:rsid w:val="0038700D"/>
    <w:rsid w:val="00396714"/>
    <w:rsid w:val="003A1FD2"/>
    <w:rsid w:val="003B055F"/>
    <w:rsid w:val="003B067A"/>
    <w:rsid w:val="003B4B0C"/>
    <w:rsid w:val="003C3453"/>
    <w:rsid w:val="003C7C1A"/>
    <w:rsid w:val="003D5BDB"/>
    <w:rsid w:val="003E0CC3"/>
    <w:rsid w:val="003F1522"/>
    <w:rsid w:val="003F17A1"/>
    <w:rsid w:val="003F659F"/>
    <w:rsid w:val="004077C1"/>
    <w:rsid w:val="0041081B"/>
    <w:rsid w:val="0041423C"/>
    <w:rsid w:val="00416DCC"/>
    <w:rsid w:val="00420017"/>
    <w:rsid w:val="004462D6"/>
    <w:rsid w:val="00450E86"/>
    <w:rsid w:val="00453F3A"/>
    <w:rsid w:val="00454F35"/>
    <w:rsid w:val="00455B69"/>
    <w:rsid w:val="00457FEB"/>
    <w:rsid w:val="00476564"/>
    <w:rsid w:val="00483D57"/>
    <w:rsid w:val="0048416D"/>
    <w:rsid w:val="00486642"/>
    <w:rsid w:val="0049286D"/>
    <w:rsid w:val="00494E1F"/>
    <w:rsid w:val="00497971"/>
    <w:rsid w:val="004A1458"/>
    <w:rsid w:val="004A1AB9"/>
    <w:rsid w:val="004C017E"/>
    <w:rsid w:val="004D0503"/>
    <w:rsid w:val="004E1E65"/>
    <w:rsid w:val="004E53DA"/>
    <w:rsid w:val="004F111A"/>
    <w:rsid w:val="004F3FA2"/>
    <w:rsid w:val="004F4E21"/>
    <w:rsid w:val="004F7E76"/>
    <w:rsid w:val="005014A2"/>
    <w:rsid w:val="00512D3B"/>
    <w:rsid w:val="00524AC0"/>
    <w:rsid w:val="00524E4F"/>
    <w:rsid w:val="00543B62"/>
    <w:rsid w:val="00566825"/>
    <w:rsid w:val="005801F0"/>
    <w:rsid w:val="00580232"/>
    <w:rsid w:val="005868C8"/>
    <w:rsid w:val="00591FE5"/>
    <w:rsid w:val="00594666"/>
    <w:rsid w:val="005A60C8"/>
    <w:rsid w:val="005A6976"/>
    <w:rsid w:val="005C23F4"/>
    <w:rsid w:val="005C28D6"/>
    <w:rsid w:val="005C78F4"/>
    <w:rsid w:val="005D76DD"/>
    <w:rsid w:val="005E2F88"/>
    <w:rsid w:val="005E4F5C"/>
    <w:rsid w:val="00604852"/>
    <w:rsid w:val="006052A2"/>
    <w:rsid w:val="006060EC"/>
    <w:rsid w:val="006061A0"/>
    <w:rsid w:val="00606A3A"/>
    <w:rsid w:val="0061764E"/>
    <w:rsid w:val="00635CE9"/>
    <w:rsid w:val="00642781"/>
    <w:rsid w:val="00655A7D"/>
    <w:rsid w:val="00662F9C"/>
    <w:rsid w:val="006870B0"/>
    <w:rsid w:val="006916BF"/>
    <w:rsid w:val="006964F2"/>
    <w:rsid w:val="006B1B39"/>
    <w:rsid w:val="006C1249"/>
    <w:rsid w:val="006D0E34"/>
    <w:rsid w:val="006E0066"/>
    <w:rsid w:val="006F11D2"/>
    <w:rsid w:val="006F1B1F"/>
    <w:rsid w:val="007062F5"/>
    <w:rsid w:val="00713DD7"/>
    <w:rsid w:val="0071566E"/>
    <w:rsid w:val="0072307E"/>
    <w:rsid w:val="00724123"/>
    <w:rsid w:val="00725FEC"/>
    <w:rsid w:val="007355E7"/>
    <w:rsid w:val="007358ED"/>
    <w:rsid w:val="007455FE"/>
    <w:rsid w:val="00746FA7"/>
    <w:rsid w:val="00750A88"/>
    <w:rsid w:val="007560F1"/>
    <w:rsid w:val="007714A0"/>
    <w:rsid w:val="00772130"/>
    <w:rsid w:val="00774967"/>
    <w:rsid w:val="00792D46"/>
    <w:rsid w:val="007A1F93"/>
    <w:rsid w:val="007A3773"/>
    <w:rsid w:val="007A53A1"/>
    <w:rsid w:val="007A7667"/>
    <w:rsid w:val="007B0010"/>
    <w:rsid w:val="007B345F"/>
    <w:rsid w:val="007B4B1C"/>
    <w:rsid w:val="007B7365"/>
    <w:rsid w:val="007C0F8D"/>
    <w:rsid w:val="007C5324"/>
    <w:rsid w:val="007C77A9"/>
    <w:rsid w:val="007D0FB5"/>
    <w:rsid w:val="007D2DC1"/>
    <w:rsid w:val="007D7669"/>
    <w:rsid w:val="007E1774"/>
    <w:rsid w:val="007F0CE4"/>
    <w:rsid w:val="007F1700"/>
    <w:rsid w:val="007F1E3C"/>
    <w:rsid w:val="007F7F4C"/>
    <w:rsid w:val="00800387"/>
    <w:rsid w:val="00804E60"/>
    <w:rsid w:val="00820D9C"/>
    <w:rsid w:val="008237FE"/>
    <w:rsid w:val="00824FE2"/>
    <w:rsid w:val="008341BC"/>
    <w:rsid w:val="00840531"/>
    <w:rsid w:val="00843CA9"/>
    <w:rsid w:val="00844664"/>
    <w:rsid w:val="00844F49"/>
    <w:rsid w:val="00853CE3"/>
    <w:rsid w:val="008653F8"/>
    <w:rsid w:val="00870D4A"/>
    <w:rsid w:val="00874178"/>
    <w:rsid w:val="00895233"/>
    <w:rsid w:val="00896C28"/>
    <w:rsid w:val="008A1E13"/>
    <w:rsid w:val="008A4B23"/>
    <w:rsid w:val="008B0DDC"/>
    <w:rsid w:val="008B1613"/>
    <w:rsid w:val="008B1E52"/>
    <w:rsid w:val="008B381A"/>
    <w:rsid w:val="008C62EC"/>
    <w:rsid w:val="008D3327"/>
    <w:rsid w:val="008E4CAA"/>
    <w:rsid w:val="00907BA8"/>
    <w:rsid w:val="00907C0A"/>
    <w:rsid w:val="00915727"/>
    <w:rsid w:val="0091602A"/>
    <w:rsid w:val="00916D13"/>
    <w:rsid w:val="00920F3A"/>
    <w:rsid w:val="009238F4"/>
    <w:rsid w:val="00924035"/>
    <w:rsid w:val="00935398"/>
    <w:rsid w:val="00936B47"/>
    <w:rsid w:val="009502A4"/>
    <w:rsid w:val="00961B5F"/>
    <w:rsid w:val="00963AAC"/>
    <w:rsid w:val="0096415F"/>
    <w:rsid w:val="00972981"/>
    <w:rsid w:val="00982413"/>
    <w:rsid w:val="00987208"/>
    <w:rsid w:val="00995BF8"/>
    <w:rsid w:val="009A6585"/>
    <w:rsid w:val="009B1ECA"/>
    <w:rsid w:val="009B41C3"/>
    <w:rsid w:val="009B42EA"/>
    <w:rsid w:val="009C0F2B"/>
    <w:rsid w:val="009C1C49"/>
    <w:rsid w:val="009D73C9"/>
    <w:rsid w:val="009E32A7"/>
    <w:rsid w:val="009E580D"/>
    <w:rsid w:val="009E771C"/>
    <w:rsid w:val="009F62B1"/>
    <w:rsid w:val="00A00428"/>
    <w:rsid w:val="00A05B42"/>
    <w:rsid w:val="00A068BB"/>
    <w:rsid w:val="00A21BD0"/>
    <w:rsid w:val="00A23641"/>
    <w:rsid w:val="00A27B08"/>
    <w:rsid w:val="00A5610D"/>
    <w:rsid w:val="00A76F1B"/>
    <w:rsid w:val="00A8324B"/>
    <w:rsid w:val="00A83CFE"/>
    <w:rsid w:val="00AA2048"/>
    <w:rsid w:val="00AA36EB"/>
    <w:rsid w:val="00AA45F9"/>
    <w:rsid w:val="00AA51B2"/>
    <w:rsid w:val="00AB3606"/>
    <w:rsid w:val="00AB5EB5"/>
    <w:rsid w:val="00AC3251"/>
    <w:rsid w:val="00AD0238"/>
    <w:rsid w:val="00AD36D3"/>
    <w:rsid w:val="00AD480B"/>
    <w:rsid w:val="00AE3D7F"/>
    <w:rsid w:val="00AE447E"/>
    <w:rsid w:val="00AE7139"/>
    <w:rsid w:val="00AE7BAF"/>
    <w:rsid w:val="00AF19F8"/>
    <w:rsid w:val="00AF4163"/>
    <w:rsid w:val="00AF5AB6"/>
    <w:rsid w:val="00AF6E8E"/>
    <w:rsid w:val="00B01AE6"/>
    <w:rsid w:val="00B0336B"/>
    <w:rsid w:val="00B14E2A"/>
    <w:rsid w:val="00B22968"/>
    <w:rsid w:val="00B25994"/>
    <w:rsid w:val="00B3213E"/>
    <w:rsid w:val="00B46DAE"/>
    <w:rsid w:val="00B47355"/>
    <w:rsid w:val="00B6565F"/>
    <w:rsid w:val="00B67809"/>
    <w:rsid w:val="00B771B5"/>
    <w:rsid w:val="00B77C0A"/>
    <w:rsid w:val="00B9694E"/>
    <w:rsid w:val="00BA0CC1"/>
    <w:rsid w:val="00BA495B"/>
    <w:rsid w:val="00BB4373"/>
    <w:rsid w:val="00BB614B"/>
    <w:rsid w:val="00BC2BC7"/>
    <w:rsid w:val="00BC5461"/>
    <w:rsid w:val="00BC7858"/>
    <w:rsid w:val="00BD0FD5"/>
    <w:rsid w:val="00BD5F25"/>
    <w:rsid w:val="00BE5754"/>
    <w:rsid w:val="00BF467E"/>
    <w:rsid w:val="00C05799"/>
    <w:rsid w:val="00C05AC9"/>
    <w:rsid w:val="00C11A21"/>
    <w:rsid w:val="00C26EB1"/>
    <w:rsid w:val="00C33762"/>
    <w:rsid w:val="00C4055D"/>
    <w:rsid w:val="00C45355"/>
    <w:rsid w:val="00C460B1"/>
    <w:rsid w:val="00C47635"/>
    <w:rsid w:val="00C64418"/>
    <w:rsid w:val="00C74300"/>
    <w:rsid w:val="00C837D4"/>
    <w:rsid w:val="00C95DCC"/>
    <w:rsid w:val="00CA1C4B"/>
    <w:rsid w:val="00CA6E3C"/>
    <w:rsid w:val="00CB256D"/>
    <w:rsid w:val="00CC05D0"/>
    <w:rsid w:val="00CC510F"/>
    <w:rsid w:val="00CD1C2E"/>
    <w:rsid w:val="00CD7C2C"/>
    <w:rsid w:val="00CE542F"/>
    <w:rsid w:val="00CF4BD9"/>
    <w:rsid w:val="00CF55FA"/>
    <w:rsid w:val="00CF6E75"/>
    <w:rsid w:val="00D00E8F"/>
    <w:rsid w:val="00D02859"/>
    <w:rsid w:val="00D02F5E"/>
    <w:rsid w:val="00D05A3A"/>
    <w:rsid w:val="00D062C5"/>
    <w:rsid w:val="00D07DA4"/>
    <w:rsid w:val="00D176DF"/>
    <w:rsid w:val="00D23457"/>
    <w:rsid w:val="00D240AD"/>
    <w:rsid w:val="00D25605"/>
    <w:rsid w:val="00D25D4C"/>
    <w:rsid w:val="00D30459"/>
    <w:rsid w:val="00D40E54"/>
    <w:rsid w:val="00D41A91"/>
    <w:rsid w:val="00D46F5C"/>
    <w:rsid w:val="00D52C65"/>
    <w:rsid w:val="00D55B8A"/>
    <w:rsid w:val="00D56F78"/>
    <w:rsid w:val="00D57EE9"/>
    <w:rsid w:val="00D659D0"/>
    <w:rsid w:val="00D70304"/>
    <w:rsid w:val="00D70A14"/>
    <w:rsid w:val="00D731C0"/>
    <w:rsid w:val="00D85164"/>
    <w:rsid w:val="00DA0677"/>
    <w:rsid w:val="00DA1CF2"/>
    <w:rsid w:val="00DA5EA5"/>
    <w:rsid w:val="00DB2736"/>
    <w:rsid w:val="00DB2742"/>
    <w:rsid w:val="00DB36A7"/>
    <w:rsid w:val="00DD2DDB"/>
    <w:rsid w:val="00DD3870"/>
    <w:rsid w:val="00DD5728"/>
    <w:rsid w:val="00DE33DA"/>
    <w:rsid w:val="00DE5F00"/>
    <w:rsid w:val="00DF35CA"/>
    <w:rsid w:val="00DF61BE"/>
    <w:rsid w:val="00DF6E4A"/>
    <w:rsid w:val="00E032E0"/>
    <w:rsid w:val="00E04CAE"/>
    <w:rsid w:val="00E135BB"/>
    <w:rsid w:val="00E27B05"/>
    <w:rsid w:val="00E30115"/>
    <w:rsid w:val="00E34339"/>
    <w:rsid w:val="00E35CD8"/>
    <w:rsid w:val="00E36F7E"/>
    <w:rsid w:val="00E4020F"/>
    <w:rsid w:val="00E43511"/>
    <w:rsid w:val="00E43EC2"/>
    <w:rsid w:val="00E46EBD"/>
    <w:rsid w:val="00E51B15"/>
    <w:rsid w:val="00E53ECC"/>
    <w:rsid w:val="00E5648F"/>
    <w:rsid w:val="00E64FB8"/>
    <w:rsid w:val="00E70D63"/>
    <w:rsid w:val="00E71EA0"/>
    <w:rsid w:val="00E730FD"/>
    <w:rsid w:val="00E76106"/>
    <w:rsid w:val="00E77463"/>
    <w:rsid w:val="00E8074C"/>
    <w:rsid w:val="00E80869"/>
    <w:rsid w:val="00E84E69"/>
    <w:rsid w:val="00E86499"/>
    <w:rsid w:val="00E9643E"/>
    <w:rsid w:val="00EA4EDA"/>
    <w:rsid w:val="00EA5764"/>
    <w:rsid w:val="00EC0014"/>
    <w:rsid w:val="00EC1817"/>
    <w:rsid w:val="00EC4E1F"/>
    <w:rsid w:val="00EC6262"/>
    <w:rsid w:val="00ED2998"/>
    <w:rsid w:val="00EE5A77"/>
    <w:rsid w:val="00EF029D"/>
    <w:rsid w:val="00EF4FC0"/>
    <w:rsid w:val="00EF5A5E"/>
    <w:rsid w:val="00F05E0D"/>
    <w:rsid w:val="00F11A25"/>
    <w:rsid w:val="00F154DD"/>
    <w:rsid w:val="00F15848"/>
    <w:rsid w:val="00F24A93"/>
    <w:rsid w:val="00F33246"/>
    <w:rsid w:val="00F33562"/>
    <w:rsid w:val="00F35862"/>
    <w:rsid w:val="00F406BD"/>
    <w:rsid w:val="00F45397"/>
    <w:rsid w:val="00F50DD9"/>
    <w:rsid w:val="00F71C30"/>
    <w:rsid w:val="00F73603"/>
    <w:rsid w:val="00F77C19"/>
    <w:rsid w:val="00F81E3B"/>
    <w:rsid w:val="00F8510D"/>
    <w:rsid w:val="00F85738"/>
    <w:rsid w:val="00F96EA8"/>
    <w:rsid w:val="00FB28CF"/>
    <w:rsid w:val="00FC6D31"/>
    <w:rsid w:val="00FD0AD7"/>
    <w:rsid w:val="00FD5B14"/>
    <w:rsid w:val="00FE324B"/>
    <w:rsid w:val="00FE5D9C"/>
    <w:rsid w:val="00FF16D6"/>
    <w:rsid w:val="00FF1BB5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5FE"/>
    <w:rPr>
      <w:rFonts w:ascii="Tahoma" w:hAnsi="Tahoma" w:cs="Tahoma"/>
      <w:sz w:val="16"/>
      <w:szCs w:val="16"/>
    </w:rPr>
  </w:style>
  <w:style w:type="table" w:styleId="ColorfulGrid-Accent1">
    <w:name w:val="Colorful Grid Accent 1"/>
    <w:basedOn w:val="TableNormal"/>
    <w:uiPriority w:val="73"/>
    <w:rsid w:val="00745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ableGrid">
    <w:name w:val="Table Grid"/>
    <w:basedOn w:val="TableNormal"/>
    <w:uiPriority w:val="59"/>
    <w:rsid w:val="0074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7455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rmalWeb">
    <w:name w:val="Normal (Web)"/>
    <w:basedOn w:val="Normal"/>
    <w:uiPriority w:val="99"/>
    <w:semiHidden/>
    <w:unhideWhenUsed/>
    <w:rsid w:val="0074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31C0"/>
    <w:pPr>
      <w:ind w:left="720"/>
      <w:contextualSpacing/>
    </w:pPr>
  </w:style>
  <w:style w:type="table" w:customStyle="1" w:styleId="MediumGrid3-Accent11">
    <w:name w:val="Medium Grid 3 - Accent 11"/>
    <w:basedOn w:val="TableNormal"/>
    <w:next w:val="MediumGrid3-Accent1"/>
    <w:uiPriority w:val="69"/>
    <w:rsid w:val="00D731C0"/>
    <w:pPr>
      <w:widowControl w:val="0"/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D731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731C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A0"/>
  </w:style>
  <w:style w:type="paragraph" w:styleId="Header">
    <w:name w:val="header"/>
    <w:basedOn w:val="Normal"/>
    <w:link w:val="HeaderChar"/>
    <w:uiPriority w:val="99"/>
    <w:unhideWhenUsed/>
    <w:rsid w:val="002D4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E8C"/>
  </w:style>
  <w:style w:type="table" w:styleId="MediumShading2">
    <w:name w:val="Medium Shading 2"/>
    <w:basedOn w:val="TableNormal"/>
    <w:uiPriority w:val="64"/>
    <w:rsid w:val="00305B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305B8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aliases w:val="Gray Scale Shading"/>
    <w:basedOn w:val="TableNormal"/>
    <w:uiPriority w:val="71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844F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://www.uclc.uci.edu/" TargetMode="External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0FFAD-3EFE-4E0B-ACCB-FDE0007F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Schoby</dc:creator>
  <cp:lastModifiedBy>Sonja Elson</cp:lastModifiedBy>
  <cp:revision>3</cp:revision>
  <cp:lastPrinted>2014-05-07T17:01:00Z</cp:lastPrinted>
  <dcterms:created xsi:type="dcterms:W3CDTF">2014-05-07T20:21:00Z</dcterms:created>
  <dcterms:modified xsi:type="dcterms:W3CDTF">2014-05-07T20:25:00Z</dcterms:modified>
</cp:coreProperties>
</file>